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287E" w:rsidRPr="0089287E" w:rsidRDefault="00871371" w:rsidP="0089287E">
      <w:pPr>
        <w:pStyle w:val="NoSpacing"/>
        <w:jc w:val="right"/>
        <w:rPr>
          <w:rFonts w:ascii="Arial" w:hAnsi="Arial" w:cs="Arial"/>
          <w:b/>
        </w:rPr>
      </w:pPr>
      <w:r w:rsidRPr="00EA2F26">
        <w:rPr>
          <w:rFonts w:eastAsiaTheme="majorEastAsia" w:cstheme="majorBidi"/>
          <w:noProof/>
          <w:color w:val="323E4F" w:themeColor="text2" w:themeShade="BF"/>
          <w:spacing w:val="5"/>
          <w:kern w:val="28"/>
          <w:sz w:val="52"/>
          <w:szCs w:val="52"/>
          <w:lang w:eastAsia="en-AU"/>
        </w:rPr>
        <w:drawing>
          <wp:anchor distT="0" distB="0" distL="114300" distR="114300" simplePos="0" relativeHeight="251674624" behindDoc="1" locked="0" layoutInCell="1" allowOverlap="1" wp14:anchorId="3AE10B76" wp14:editId="668187C7">
            <wp:simplePos x="0" y="0"/>
            <wp:positionH relativeFrom="page">
              <wp:align>left</wp:align>
            </wp:positionH>
            <wp:positionV relativeFrom="paragraph">
              <wp:posOffset>-928181</wp:posOffset>
            </wp:positionV>
            <wp:extent cx="8655050" cy="427174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eltnam.bmp"/>
                    <pic:cNvPicPr/>
                  </pic:nvPicPr>
                  <pic:blipFill rotWithShape="1">
                    <a:blip r:embed="rId8">
                      <a:extLst>
                        <a:ext uri="{28A0092B-C50C-407E-A947-70E740481C1C}">
                          <a14:useLocalDpi xmlns:a14="http://schemas.microsoft.com/office/drawing/2010/main" val="0"/>
                        </a:ext>
                      </a:extLst>
                    </a:blip>
                    <a:srcRect t="4946" b="-11484"/>
                    <a:stretch/>
                  </pic:blipFill>
                  <pic:spPr bwMode="auto">
                    <a:xfrm>
                      <a:off x="0" y="0"/>
                      <a:ext cx="8655050" cy="427174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A127BE" w:rsidRDefault="00A127BE" w:rsidP="00A3695F">
      <w:pPr>
        <w:pStyle w:val="NoSpacing"/>
        <w:jc w:val="center"/>
        <w:rPr>
          <w:b/>
          <w:color w:val="2E74B5" w:themeColor="accent1" w:themeShade="BF"/>
          <w:sz w:val="48"/>
          <w:szCs w:val="48"/>
        </w:rPr>
      </w:pPr>
    </w:p>
    <w:p w:rsidR="00A127BE" w:rsidRDefault="00A127BE" w:rsidP="00A3695F">
      <w:pPr>
        <w:pStyle w:val="NoSpacing"/>
        <w:jc w:val="center"/>
        <w:rPr>
          <w:b/>
          <w:color w:val="2E74B5" w:themeColor="accent1" w:themeShade="BF"/>
          <w:sz w:val="48"/>
          <w:szCs w:val="48"/>
        </w:rPr>
      </w:pPr>
    </w:p>
    <w:p w:rsidR="00A127BE" w:rsidRDefault="00871371" w:rsidP="00A3695F">
      <w:pPr>
        <w:pStyle w:val="NoSpacing"/>
        <w:jc w:val="center"/>
        <w:rPr>
          <w:b/>
          <w:color w:val="2E74B5" w:themeColor="accent1" w:themeShade="BF"/>
          <w:sz w:val="48"/>
          <w:szCs w:val="48"/>
        </w:rPr>
      </w:pPr>
      <w:r w:rsidRPr="00871371">
        <w:rPr>
          <w:noProof/>
          <w:color w:val="2F5496" w:themeColor="accent5" w:themeShade="BF"/>
          <w:sz w:val="40"/>
          <w:lang w:eastAsia="en-AU"/>
        </w:rPr>
        <w:drawing>
          <wp:anchor distT="0" distB="0" distL="114300" distR="114300" simplePos="0" relativeHeight="251676672" behindDoc="0" locked="0" layoutInCell="1" allowOverlap="1" wp14:anchorId="2057DC1F" wp14:editId="65A44C4E">
            <wp:simplePos x="0" y="0"/>
            <wp:positionH relativeFrom="page">
              <wp:align>left</wp:align>
            </wp:positionH>
            <wp:positionV relativeFrom="paragraph">
              <wp:posOffset>215528</wp:posOffset>
            </wp:positionV>
            <wp:extent cx="2513067" cy="1707515"/>
            <wp:effectExtent l="19050" t="19050" r="20955" b="26035"/>
            <wp:wrapNone/>
            <wp:docPr id="1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a:extLst>
                        <a:ext uri="{28A0092B-C50C-407E-A947-70E740481C1C}">
                          <a14:useLocalDpi xmlns:a14="http://schemas.microsoft.com/office/drawing/2010/main" val="0"/>
                        </a:ext>
                      </a:extLst>
                    </a:blip>
                    <a:srcRect l="-1" r="28576"/>
                    <a:stretch/>
                  </pic:blipFill>
                  <pic:spPr bwMode="auto">
                    <a:xfrm>
                      <a:off x="0" y="0"/>
                      <a:ext cx="2513067" cy="1707515"/>
                    </a:xfrm>
                    <a:prstGeom prst="rect">
                      <a:avLst/>
                    </a:prstGeom>
                    <a:noFill/>
                    <a:ln w="12700"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rsidR="00A3695F" w:rsidRDefault="00A3695F" w:rsidP="00A3695F">
      <w:pPr>
        <w:pStyle w:val="NoSpacing"/>
        <w:jc w:val="center"/>
        <w:rPr>
          <w:b/>
          <w:color w:val="2E74B5" w:themeColor="accent1" w:themeShade="BF"/>
          <w:sz w:val="48"/>
          <w:szCs w:val="48"/>
        </w:rPr>
      </w:pPr>
    </w:p>
    <w:p w:rsidR="00A3695F" w:rsidRDefault="00A3695F" w:rsidP="00A3695F">
      <w:pPr>
        <w:pStyle w:val="NoSpacing"/>
        <w:jc w:val="center"/>
        <w:rPr>
          <w:b/>
          <w:color w:val="2E74B5" w:themeColor="accent1" w:themeShade="BF"/>
          <w:sz w:val="48"/>
          <w:szCs w:val="48"/>
        </w:rPr>
      </w:pPr>
    </w:p>
    <w:p w:rsidR="00A3695F" w:rsidRPr="00A3695F" w:rsidRDefault="00A3695F" w:rsidP="00A3695F">
      <w:pPr>
        <w:pStyle w:val="NoSpacing"/>
        <w:jc w:val="center"/>
        <w:rPr>
          <w:color w:val="2E74B5" w:themeColor="accent1" w:themeShade="BF"/>
          <w:sz w:val="44"/>
          <w:szCs w:val="44"/>
        </w:rPr>
      </w:pPr>
    </w:p>
    <w:p w:rsidR="00A3695F" w:rsidRDefault="00A3695F" w:rsidP="00AB1D13">
      <w:pPr>
        <w:autoSpaceDE w:val="0"/>
        <w:autoSpaceDN w:val="0"/>
        <w:adjustRightInd w:val="0"/>
        <w:spacing w:after="0" w:line="240" w:lineRule="auto"/>
        <w:jc w:val="both"/>
        <w:rPr>
          <w:rFonts w:cs="Calibri"/>
          <w:b/>
          <w:sz w:val="28"/>
          <w:szCs w:val="28"/>
        </w:rPr>
      </w:pPr>
    </w:p>
    <w:p w:rsidR="00A3695F" w:rsidRDefault="00871371" w:rsidP="00AB1D13">
      <w:pPr>
        <w:autoSpaceDE w:val="0"/>
        <w:autoSpaceDN w:val="0"/>
        <w:adjustRightInd w:val="0"/>
        <w:spacing w:after="0" w:line="240" w:lineRule="auto"/>
        <w:jc w:val="both"/>
        <w:rPr>
          <w:rFonts w:cs="Calibri"/>
          <w:b/>
          <w:sz w:val="28"/>
          <w:szCs w:val="28"/>
        </w:rPr>
      </w:pPr>
      <w:r w:rsidRPr="00871371">
        <w:rPr>
          <w:noProof/>
          <w:color w:val="2F5496" w:themeColor="accent5" w:themeShade="BF"/>
          <w:sz w:val="40"/>
          <w:lang w:eastAsia="en-AU"/>
        </w:rPr>
        <w:drawing>
          <wp:anchor distT="0" distB="0" distL="114300" distR="114300" simplePos="0" relativeHeight="251678720" behindDoc="0" locked="0" layoutInCell="1" allowOverlap="1" wp14:anchorId="73C8E185" wp14:editId="7C80AD51">
            <wp:simplePos x="0" y="0"/>
            <wp:positionH relativeFrom="page">
              <wp:align>left</wp:align>
            </wp:positionH>
            <wp:positionV relativeFrom="paragraph">
              <wp:posOffset>267451</wp:posOffset>
            </wp:positionV>
            <wp:extent cx="3752383" cy="2614959"/>
            <wp:effectExtent l="19050" t="19050" r="19685" b="1397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1.jpg"/>
                    <pic:cNvPicPr/>
                  </pic:nvPicPr>
                  <pic:blipFill rotWithShape="1">
                    <a:blip r:embed="rId10">
                      <a:extLst>
                        <a:ext uri="{28A0092B-C50C-407E-A947-70E740481C1C}">
                          <a14:useLocalDpi xmlns:a14="http://schemas.microsoft.com/office/drawing/2010/main" val="0"/>
                        </a:ext>
                      </a:extLst>
                    </a:blip>
                    <a:srcRect l="364" t="7062" r="-364" b="3"/>
                    <a:stretch/>
                  </pic:blipFill>
                  <pic:spPr bwMode="auto">
                    <a:xfrm>
                      <a:off x="0" y="0"/>
                      <a:ext cx="3752383" cy="2614959"/>
                    </a:xfrm>
                    <a:prstGeom prst="rect">
                      <a:avLst/>
                    </a:prstGeom>
                    <a:ln w="12700"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3695F" w:rsidRDefault="00871371" w:rsidP="00AB1D13">
      <w:pPr>
        <w:autoSpaceDE w:val="0"/>
        <w:autoSpaceDN w:val="0"/>
        <w:adjustRightInd w:val="0"/>
        <w:spacing w:after="0" w:line="240" w:lineRule="auto"/>
        <w:jc w:val="both"/>
        <w:rPr>
          <w:rFonts w:cs="Calibri"/>
          <w:b/>
          <w:sz w:val="28"/>
          <w:szCs w:val="28"/>
        </w:rPr>
      </w:pPr>
      <w:r w:rsidRPr="00871371">
        <w:rPr>
          <w:noProof/>
          <w:color w:val="2F5496" w:themeColor="accent5" w:themeShade="BF"/>
          <w:sz w:val="40"/>
          <w:lang w:eastAsia="en-AU"/>
        </w:rPr>
        <w:drawing>
          <wp:anchor distT="0" distB="0" distL="114300" distR="114300" simplePos="0" relativeHeight="251677696" behindDoc="0" locked="0" layoutInCell="1" allowOverlap="1" wp14:anchorId="49B8DF29" wp14:editId="5455F811">
            <wp:simplePos x="0" y="0"/>
            <wp:positionH relativeFrom="page">
              <wp:posOffset>3766782</wp:posOffset>
            </wp:positionH>
            <wp:positionV relativeFrom="paragraph">
              <wp:posOffset>42828</wp:posOffset>
            </wp:positionV>
            <wp:extent cx="3780155" cy="2623319"/>
            <wp:effectExtent l="19050" t="19050" r="10795" b="24765"/>
            <wp:wrapNone/>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l="12400" t="517" r="20825"/>
                    <a:stretch/>
                  </pic:blipFill>
                  <pic:spPr bwMode="auto">
                    <a:xfrm>
                      <a:off x="0" y="0"/>
                      <a:ext cx="3780430" cy="2623510"/>
                    </a:xfrm>
                    <a:prstGeom prst="rect">
                      <a:avLst/>
                    </a:prstGeom>
                    <a:noFill/>
                    <a:ln w="12700"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3695F" w:rsidRDefault="00A3695F" w:rsidP="00AB1D13">
      <w:pPr>
        <w:autoSpaceDE w:val="0"/>
        <w:autoSpaceDN w:val="0"/>
        <w:adjustRightInd w:val="0"/>
        <w:spacing w:after="0" w:line="240" w:lineRule="auto"/>
        <w:jc w:val="both"/>
        <w:rPr>
          <w:rFonts w:cs="Calibri"/>
          <w:b/>
          <w:sz w:val="28"/>
          <w:szCs w:val="28"/>
        </w:rPr>
      </w:pPr>
    </w:p>
    <w:p w:rsidR="00A3695F" w:rsidRDefault="00A3695F" w:rsidP="00AB1D13">
      <w:pPr>
        <w:autoSpaceDE w:val="0"/>
        <w:autoSpaceDN w:val="0"/>
        <w:adjustRightInd w:val="0"/>
        <w:spacing w:after="0" w:line="240" w:lineRule="auto"/>
        <w:jc w:val="both"/>
        <w:rPr>
          <w:rFonts w:cs="Calibri"/>
          <w:b/>
          <w:sz w:val="28"/>
          <w:szCs w:val="28"/>
        </w:rPr>
      </w:pPr>
    </w:p>
    <w:p w:rsidR="00A3695F" w:rsidRDefault="00A3695F" w:rsidP="00AB1D13">
      <w:pPr>
        <w:autoSpaceDE w:val="0"/>
        <w:autoSpaceDN w:val="0"/>
        <w:adjustRightInd w:val="0"/>
        <w:spacing w:after="0" w:line="240" w:lineRule="auto"/>
        <w:jc w:val="both"/>
        <w:rPr>
          <w:rFonts w:cs="Calibri"/>
          <w:b/>
          <w:sz w:val="28"/>
          <w:szCs w:val="28"/>
        </w:rPr>
      </w:pPr>
    </w:p>
    <w:p w:rsidR="00A3695F" w:rsidRDefault="00A3695F" w:rsidP="00AB1D13">
      <w:pPr>
        <w:autoSpaceDE w:val="0"/>
        <w:autoSpaceDN w:val="0"/>
        <w:adjustRightInd w:val="0"/>
        <w:spacing w:after="0" w:line="240" w:lineRule="auto"/>
        <w:jc w:val="both"/>
        <w:rPr>
          <w:rFonts w:cs="Calibri"/>
          <w:b/>
          <w:sz w:val="28"/>
          <w:szCs w:val="28"/>
        </w:rPr>
      </w:pPr>
    </w:p>
    <w:p w:rsidR="00A3695F" w:rsidRDefault="00A3695F" w:rsidP="00AB1D13">
      <w:pPr>
        <w:autoSpaceDE w:val="0"/>
        <w:autoSpaceDN w:val="0"/>
        <w:adjustRightInd w:val="0"/>
        <w:spacing w:after="0" w:line="240" w:lineRule="auto"/>
        <w:jc w:val="both"/>
        <w:rPr>
          <w:rFonts w:cs="Calibri"/>
          <w:b/>
          <w:sz w:val="28"/>
          <w:szCs w:val="28"/>
        </w:rPr>
      </w:pPr>
    </w:p>
    <w:p w:rsidR="00A3695F" w:rsidRDefault="00A3695F" w:rsidP="00AB1D13">
      <w:pPr>
        <w:autoSpaceDE w:val="0"/>
        <w:autoSpaceDN w:val="0"/>
        <w:adjustRightInd w:val="0"/>
        <w:spacing w:after="0" w:line="240" w:lineRule="auto"/>
        <w:jc w:val="both"/>
        <w:rPr>
          <w:rFonts w:cs="Calibri"/>
          <w:b/>
          <w:sz w:val="28"/>
          <w:szCs w:val="28"/>
        </w:rPr>
      </w:pPr>
    </w:p>
    <w:p w:rsidR="00A3695F" w:rsidRDefault="00A3695F" w:rsidP="00AB1D13">
      <w:pPr>
        <w:autoSpaceDE w:val="0"/>
        <w:autoSpaceDN w:val="0"/>
        <w:adjustRightInd w:val="0"/>
        <w:spacing w:after="0" w:line="240" w:lineRule="auto"/>
        <w:jc w:val="both"/>
        <w:rPr>
          <w:rFonts w:cs="Calibri"/>
          <w:b/>
          <w:sz w:val="28"/>
          <w:szCs w:val="28"/>
        </w:rPr>
      </w:pPr>
    </w:p>
    <w:p w:rsidR="00A3695F" w:rsidRDefault="00A3695F" w:rsidP="00AB1D13">
      <w:pPr>
        <w:autoSpaceDE w:val="0"/>
        <w:autoSpaceDN w:val="0"/>
        <w:adjustRightInd w:val="0"/>
        <w:spacing w:after="0" w:line="240" w:lineRule="auto"/>
        <w:jc w:val="both"/>
        <w:rPr>
          <w:rFonts w:cs="Calibri"/>
          <w:b/>
          <w:sz w:val="28"/>
          <w:szCs w:val="28"/>
        </w:rPr>
      </w:pPr>
    </w:p>
    <w:p w:rsidR="00A3695F" w:rsidRDefault="00A3695F" w:rsidP="00AB1D13">
      <w:pPr>
        <w:autoSpaceDE w:val="0"/>
        <w:autoSpaceDN w:val="0"/>
        <w:adjustRightInd w:val="0"/>
        <w:spacing w:after="0" w:line="240" w:lineRule="auto"/>
        <w:jc w:val="both"/>
        <w:rPr>
          <w:rFonts w:cs="Calibri"/>
          <w:b/>
          <w:sz w:val="28"/>
          <w:szCs w:val="28"/>
        </w:rPr>
      </w:pPr>
    </w:p>
    <w:p w:rsidR="00A3695F" w:rsidRDefault="00A3695F" w:rsidP="00AB1D13">
      <w:pPr>
        <w:autoSpaceDE w:val="0"/>
        <w:autoSpaceDN w:val="0"/>
        <w:adjustRightInd w:val="0"/>
        <w:spacing w:after="0" w:line="240" w:lineRule="auto"/>
        <w:jc w:val="both"/>
        <w:rPr>
          <w:rFonts w:cs="Calibri"/>
          <w:b/>
          <w:sz w:val="28"/>
          <w:szCs w:val="28"/>
        </w:rPr>
      </w:pPr>
    </w:p>
    <w:p w:rsidR="00A3695F" w:rsidRDefault="00A3695F" w:rsidP="00AB1D13">
      <w:pPr>
        <w:autoSpaceDE w:val="0"/>
        <w:autoSpaceDN w:val="0"/>
        <w:adjustRightInd w:val="0"/>
        <w:spacing w:after="0" w:line="240" w:lineRule="auto"/>
        <w:jc w:val="both"/>
        <w:rPr>
          <w:rFonts w:cs="Calibri"/>
          <w:b/>
          <w:sz w:val="28"/>
          <w:szCs w:val="28"/>
        </w:rPr>
      </w:pPr>
    </w:p>
    <w:p w:rsidR="00A3695F" w:rsidRDefault="00A3695F" w:rsidP="00AB1D13">
      <w:pPr>
        <w:autoSpaceDE w:val="0"/>
        <w:autoSpaceDN w:val="0"/>
        <w:adjustRightInd w:val="0"/>
        <w:spacing w:after="0" w:line="240" w:lineRule="auto"/>
        <w:jc w:val="both"/>
        <w:rPr>
          <w:rFonts w:cs="Calibri"/>
          <w:b/>
          <w:sz w:val="28"/>
          <w:szCs w:val="28"/>
        </w:rPr>
      </w:pPr>
    </w:p>
    <w:p w:rsidR="00A3695F" w:rsidRDefault="0009636D" w:rsidP="0009636D">
      <w:pPr>
        <w:autoSpaceDE w:val="0"/>
        <w:autoSpaceDN w:val="0"/>
        <w:adjustRightInd w:val="0"/>
        <w:spacing w:after="0" w:line="240" w:lineRule="auto"/>
        <w:ind w:left="-1418"/>
        <w:jc w:val="both"/>
        <w:rPr>
          <w:rFonts w:cs="Calibri"/>
          <w:b/>
          <w:sz w:val="28"/>
          <w:szCs w:val="28"/>
        </w:rPr>
      </w:pPr>
      <w:r>
        <w:rPr>
          <w:rFonts w:cs="Calibri"/>
          <w:b/>
          <w:noProof/>
          <w:sz w:val="28"/>
          <w:szCs w:val="28"/>
          <w:lang w:eastAsia="en-AU"/>
        </w:rPr>
        <w:drawing>
          <wp:inline distT="0" distB="0" distL="0" distR="0" wp14:anchorId="36863653" wp14:editId="55DEE4C5">
            <wp:extent cx="7532348" cy="46101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38249" cy="491973"/>
                    </a:xfrm>
                    <a:prstGeom prst="rect">
                      <a:avLst/>
                    </a:prstGeom>
                    <a:noFill/>
                  </pic:spPr>
                </pic:pic>
              </a:graphicData>
            </a:graphic>
          </wp:inline>
        </w:drawing>
      </w:r>
    </w:p>
    <w:p w:rsidR="00A3695F" w:rsidRDefault="00A3695F" w:rsidP="00AB1D13">
      <w:pPr>
        <w:autoSpaceDE w:val="0"/>
        <w:autoSpaceDN w:val="0"/>
        <w:adjustRightInd w:val="0"/>
        <w:spacing w:after="0" w:line="240" w:lineRule="auto"/>
        <w:jc w:val="both"/>
        <w:rPr>
          <w:rFonts w:cs="Calibri"/>
          <w:b/>
          <w:sz w:val="28"/>
          <w:szCs w:val="28"/>
        </w:rPr>
      </w:pPr>
    </w:p>
    <w:p w:rsidR="00A3695F" w:rsidRDefault="0009636D" w:rsidP="00AB1D13">
      <w:pPr>
        <w:autoSpaceDE w:val="0"/>
        <w:autoSpaceDN w:val="0"/>
        <w:adjustRightInd w:val="0"/>
        <w:spacing w:after="0" w:line="240" w:lineRule="auto"/>
        <w:jc w:val="both"/>
        <w:rPr>
          <w:rFonts w:cs="Calibri"/>
          <w:b/>
          <w:sz w:val="28"/>
          <w:szCs w:val="28"/>
        </w:rPr>
      </w:pPr>
      <w:r>
        <w:rPr>
          <w:noProof/>
          <w:lang w:eastAsia="en-AU"/>
        </w:rPr>
        <mc:AlternateContent>
          <mc:Choice Requires="wps">
            <w:drawing>
              <wp:anchor distT="0" distB="0" distL="114300" distR="114300" simplePos="0" relativeHeight="251665408" behindDoc="1" locked="0" layoutInCell="1" allowOverlap="1" wp14:anchorId="79215A44" wp14:editId="0F90D9D8">
                <wp:simplePos x="0" y="0"/>
                <wp:positionH relativeFrom="margin">
                  <wp:posOffset>2279175</wp:posOffset>
                </wp:positionH>
                <wp:positionV relativeFrom="page">
                  <wp:posOffset>7219666</wp:posOffset>
                </wp:positionV>
                <wp:extent cx="4224323" cy="1958975"/>
                <wp:effectExtent l="0" t="0" r="5080" b="3175"/>
                <wp:wrapNone/>
                <wp:docPr id="12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323" cy="195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5DF" w:rsidRPr="00A040E3" w:rsidRDefault="009D45DF" w:rsidP="00292FB7">
                            <w:pPr>
                              <w:spacing w:after="0" w:line="240" w:lineRule="auto"/>
                              <w:ind w:left="23"/>
                              <w:rPr>
                                <w:rFonts w:ascii="Arial Narrow" w:eastAsia="Arial" w:hAnsi="Arial Narrow" w:cs="Arial"/>
                                <w:sz w:val="64"/>
                                <w:szCs w:val="64"/>
                              </w:rPr>
                            </w:pPr>
                            <w:r w:rsidRPr="00A040E3">
                              <w:rPr>
                                <w:rFonts w:ascii="Arial Narrow" w:hAnsi="Arial Narrow"/>
                                <w:b/>
                                <w:color w:val="231F20"/>
                                <w:spacing w:val="-26"/>
                                <w:sz w:val="64"/>
                                <w:szCs w:val="64"/>
                              </w:rPr>
                              <w:t>Recreation and Open Space</w:t>
                            </w:r>
                          </w:p>
                          <w:p w:rsidR="009D45DF" w:rsidRPr="00A040E3" w:rsidRDefault="009D45DF" w:rsidP="00292FB7">
                            <w:pPr>
                              <w:spacing w:before="223" w:line="240" w:lineRule="auto"/>
                              <w:rPr>
                                <w:rFonts w:ascii="Arial Narrow" w:hAnsi="Arial Narrow"/>
                                <w:color w:val="231F20"/>
                                <w:sz w:val="42"/>
                              </w:rPr>
                            </w:pPr>
                            <w:r w:rsidRPr="00A040E3">
                              <w:rPr>
                                <w:rFonts w:ascii="Arial Narrow" w:hAnsi="Arial Narrow"/>
                                <w:color w:val="231F20"/>
                                <w:sz w:val="42"/>
                              </w:rPr>
                              <w:t>Service Driven Asset Management Plan</w:t>
                            </w:r>
                          </w:p>
                          <w:p w:rsidR="009D45DF" w:rsidRPr="00A040E3" w:rsidRDefault="009D45DF" w:rsidP="00292FB7">
                            <w:pPr>
                              <w:spacing w:before="223" w:line="240" w:lineRule="auto"/>
                              <w:rPr>
                                <w:rFonts w:ascii="Arial Narrow" w:eastAsia="Arial" w:hAnsi="Arial Narrow" w:cs="Arial"/>
                                <w:sz w:val="42"/>
                                <w:szCs w:val="42"/>
                              </w:rPr>
                            </w:pPr>
                            <w:r w:rsidRPr="00A040E3">
                              <w:rPr>
                                <w:rFonts w:ascii="Arial Narrow" w:hAnsi="Arial Narrow"/>
                                <w:color w:val="231F20"/>
                                <w:sz w:val="42"/>
                              </w:rPr>
                              <w:t>June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215A44" id="_x0000_t202" coordsize="21600,21600" o:spt="202" path="m,l,21600r21600,l21600,xe">
                <v:stroke joinstyle="miter"/>
                <v:path gradientshapeok="t" o:connecttype="rect"/>
              </v:shapetype>
              <v:shape id="Text Box 127" o:spid="_x0000_s1026" type="#_x0000_t202" style="position:absolute;left:0;text-align:left;margin-left:179.45pt;margin-top:568.5pt;width:332.6pt;height:154.2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QKasAIAAK4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" filled="f" stroked="f">
                <v:textbox inset="0,0,0,0">
                  <w:txbxContent>
                    <w:p w:rsidR="009D45DF" w:rsidRPr="00A040E3" w:rsidRDefault="009D45DF" w:rsidP="00292FB7">
                      <w:pPr>
                        <w:spacing w:after="0" w:line="240" w:lineRule="auto"/>
                        <w:ind w:left="23"/>
                        <w:rPr>
                          <w:rFonts w:ascii="Arial Narrow" w:eastAsia="Arial" w:hAnsi="Arial Narrow" w:cs="Arial"/>
                          <w:sz w:val="64"/>
                          <w:szCs w:val="64"/>
                        </w:rPr>
                      </w:pPr>
                      <w:r w:rsidRPr="00A040E3">
                        <w:rPr>
                          <w:rFonts w:ascii="Arial Narrow" w:hAnsi="Arial Narrow"/>
                          <w:b/>
                          <w:color w:val="231F20"/>
                          <w:spacing w:val="-26"/>
                          <w:sz w:val="64"/>
                          <w:szCs w:val="64"/>
                        </w:rPr>
                        <w:t>Recreation and Open Space</w:t>
                      </w:r>
                    </w:p>
                    <w:p w:rsidR="009D45DF" w:rsidRPr="00A040E3" w:rsidRDefault="009D45DF" w:rsidP="00292FB7">
                      <w:pPr>
                        <w:spacing w:before="223" w:line="240" w:lineRule="auto"/>
                        <w:rPr>
                          <w:rFonts w:ascii="Arial Narrow" w:hAnsi="Arial Narrow"/>
                          <w:color w:val="231F20"/>
                          <w:sz w:val="42"/>
                        </w:rPr>
                      </w:pPr>
                      <w:r w:rsidRPr="00A040E3">
                        <w:rPr>
                          <w:rFonts w:ascii="Arial Narrow" w:hAnsi="Arial Narrow"/>
                          <w:color w:val="231F20"/>
                          <w:sz w:val="42"/>
                        </w:rPr>
                        <w:t>Service Driven Asset Management Plan</w:t>
                      </w:r>
                    </w:p>
                    <w:p w:rsidR="009D45DF" w:rsidRPr="00A040E3" w:rsidRDefault="009D45DF" w:rsidP="00292FB7">
                      <w:pPr>
                        <w:spacing w:before="223" w:line="240" w:lineRule="auto"/>
                        <w:rPr>
                          <w:rFonts w:ascii="Arial Narrow" w:eastAsia="Arial" w:hAnsi="Arial Narrow" w:cs="Arial"/>
                          <w:sz w:val="42"/>
                          <w:szCs w:val="42"/>
                        </w:rPr>
                      </w:pPr>
                      <w:r w:rsidRPr="00A040E3">
                        <w:rPr>
                          <w:rFonts w:ascii="Arial Narrow" w:hAnsi="Arial Narrow"/>
                          <w:color w:val="231F20"/>
                          <w:sz w:val="42"/>
                        </w:rPr>
                        <w:t>June 2016</w:t>
                      </w:r>
                    </w:p>
                  </w:txbxContent>
                </v:textbox>
                <w10:wrap anchorx="margin" anchory="page"/>
              </v:shape>
            </w:pict>
          </mc:Fallback>
        </mc:AlternateContent>
      </w:r>
    </w:p>
    <w:p w:rsidR="00A3695F" w:rsidRDefault="00A3695F" w:rsidP="00AB1D13">
      <w:pPr>
        <w:autoSpaceDE w:val="0"/>
        <w:autoSpaceDN w:val="0"/>
        <w:adjustRightInd w:val="0"/>
        <w:spacing w:after="0" w:line="240" w:lineRule="auto"/>
        <w:jc w:val="both"/>
        <w:rPr>
          <w:rFonts w:cs="Calibri"/>
          <w:b/>
          <w:sz w:val="28"/>
          <w:szCs w:val="28"/>
        </w:rPr>
      </w:pPr>
      <w:bookmarkStart w:id="0" w:name="_GoBack"/>
      <w:bookmarkEnd w:id="0"/>
    </w:p>
    <w:p w:rsidR="00A3695F" w:rsidRDefault="00A3695F" w:rsidP="00AB1D13">
      <w:pPr>
        <w:autoSpaceDE w:val="0"/>
        <w:autoSpaceDN w:val="0"/>
        <w:adjustRightInd w:val="0"/>
        <w:spacing w:after="0" w:line="240" w:lineRule="auto"/>
        <w:jc w:val="both"/>
        <w:rPr>
          <w:rFonts w:cs="Calibri"/>
          <w:b/>
          <w:sz w:val="28"/>
          <w:szCs w:val="28"/>
        </w:rPr>
      </w:pPr>
    </w:p>
    <w:p w:rsidR="00A3695F" w:rsidRDefault="00A3695F" w:rsidP="00AB1D13">
      <w:pPr>
        <w:autoSpaceDE w:val="0"/>
        <w:autoSpaceDN w:val="0"/>
        <w:adjustRightInd w:val="0"/>
        <w:spacing w:after="0" w:line="240" w:lineRule="auto"/>
        <w:jc w:val="both"/>
        <w:rPr>
          <w:rFonts w:cs="Calibri"/>
          <w:b/>
          <w:sz w:val="28"/>
          <w:szCs w:val="28"/>
        </w:rPr>
      </w:pPr>
    </w:p>
    <w:p w:rsidR="00A3695F" w:rsidRDefault="00A3695F" w:rsidP="00AB1D13">
      <w:pPr>
        <w:autoSpaceDE w:val="0"/>
        <w:autoSpaceDN w:val="0"/>
        <w:adjustRightInd w:val="0"/>
        <w:spacing w:after="0" w:line="240" w:lineRule="auto"/>
        <w:jc w:val="both"/>
        <w:rPr>
          <w:rFonts w:cs="Calibri"/>
          <w:b/>
          <w:sz w:val="28"/>
          <w:szCs w:val="28"/>
        </w:rPr>
      </w:pPr>
    </w:p>
    <w:p w:rsidR="00A3695F" w:rsidRDefault="00A3695F" w:rsidP="00AB1D13">
      <w:pPr>
        <w:autoSpaceDE w:val="0"/>
        <w:autoSpaceDN w:val="0"/>
        <w:adjustRightInd w:val="0"/>
        <w:spacing w:after="0" w:line="240" w:lineRule="auto"/>
        <w:jc w:val="both"/>
        <w:rPr>
          <w:rFonts w:cs="Calibri"/>
          <w:b/>
          <w:sz w:val="28"/>
          <w:szCs w:val="28"/>
        </w:rPr>
      </w:pPr>
    </w:p>
    <w:p w:rsidR="00A3695F" w:rsidRDefault="00A3695F" w:rsidP="00AB1D13">
      <w:pPr>
        <w:autoSpaceDE w:val="0"/>
        <w:autoSpaceDN w:val="0"/>
        <w:adjustRightInd w:val="0"/>
        <w:spacing w:after="0" w:line="240" w:lineRule="auto"/>
        <w:jc w:val="both"/>
        <w:rPr>
          <w:rFonts w:cs="Calibri"/>
          <w:b/>
          <w:sz w:val="28"/>
          <w:szCs w:val="28"/>
        </w:rPr>
      </w:pPr>
    </w:p>
    <w:p w:rsidR="00A3695F" w:rsidRDefault="00A3695F" w:rsidP="00AB1D13">
      <w:pPr>
        <w:autoSpaceDE w:val="0"/>
        <w:autoSpaceDN w:val="0"/>
        <w:adjustRightInd w:val="0"/>
        <w:spacing w:after="0" w:line="240" w:lineRule="auto"/>
        <w:jc w:val="both"/>
        <w:rPr>
          <w:rFonts w:cs="Calibri"/>
          <w:b/>
          <w:sz w:val="28"/>
          <w:szCs w:val="28"/>
        </w:rPr>
      </w:pPr>
    </w:p>
    <w:p w:rsidR="00A3695F" w:rsidRDefault="00A3695F" w:rsidP="00AB1D13">
      <w:pPr>
        <w:autoSpaceDE w:val="0"/>
        <w:autoSpaceDN w:val="0"/>
        <w:adjustRightInd w:val="0"/>
        <w:spacing w:after="0" w:line="240" w:lineRule="auto"/>
        <w:jc w:val="both"/>
        <w:rPr>
          <w:rFonts w:cs="Calibri"/>
          <w:b/>
          <w:sz w:val="28"/>
          <w:szCs w:val="28"/>
        </w:rPr>
      </w:pPr>
    </w:p>
    <w:p w:rsidR="00D976EA" w:rsidRDefault="00D976EA" w:rsidP="00AB1D13">
      <w:pPr>
        <w:autoSpaceDE w:val="0"/>
        <w:autoSpaceDN w:val="0"/>
        <w:adjustRightInd w:val="0"/>
        <w:spacing w:after="0" w:line="240" w:lineRule="auto"/>
        <w:jc w:val="both"/>
        <w:rPr>
          <w:rFonts w:cs="Calibri"/>
          <w:b/>
          <w:sz w:val="28"/>
          <w:szCs w:val="28"/>
        </w:rPr>
        <w:sectPr w:rsidR="00D976EA" w:rsidSect="009F7417">
          <w:footerReference w:type="default" r:id="rId13"/>
          <w:pgSz w:w="11906" w:h="16838" w:code="9"/>
          <w:pgMar w:top="1440" w:right="1440" w:bottom="567" w:left="1440" w:header="709" w:footer="283" w:gutter="0"/>
          <w:cols w:space="708"/>
          <w:docGrid w:linePitch="360"/>
        </w:sectPr>
      </w:pPr>
    </w:p>
    <w:p w:rsidR="00A3695F" w:rsidRDefault="00A3695F" w:rsidP="00AB1D13">
      <w:pPr>
        <w:autoSpaceDE w:val="0"/>
        <w:autoSpaceDN w:val="0"/>
        <w:adjustRightInd w:val="0"/>
        <w:spacing w:after="0" w:line="240" w:lineRule="auto"/>
        <w:jc w:val="both"/>
        <w:rPr>
          <w:rFonts w:cs="Calibri"/>
          <w:b/>
          <w:sz w:val="28"/>
          <w:szCs w:val="28"/>
        </w:rPr>
      </w:pPr>
    </w:p>
    <w:p w:rsidR="00D02973" w:rsidRPr="00DF2FAC" w:rsidRDefault="00D02973" w:rsidP="00D02973">
      <w:pPr>
        <w:pStyle w:val="Title"/>
        <w:pBdr>
          <w:bottom w:val="single" w:sz="4" w:space="4" w:color="auto"/>
        </w:pBdr>
        <w:spacing w:after="200" w:line="276" w:lineRule="auto"/>
        <w:rPr>
          <w:rFonts w:asciiTheme="minorHAnsi" w:hAnsiTheme="minorHAnsi"/>
          <w:color w:val="2F5496" w:themeColor="accent5" w:themeShade="BF"/>
        </w:rPr>
      </w:pPr>
      <w:r w:rsidRPr="00AA1CC4">
        <w:rPr>
          <w:rFonts w:asciiTheme="minorHAnsi" w:hAnsiTheme="minorHAnsi"/>
          <w:color w:val="2E74B5" w:themeColor="accent1" w:themeShade="BF"/>
          <w:sz w:val="40"/>
        </w:rPr>
        <w:t>Recreation &amp; Open Space Asset Management Plan</w:t>
      </w:r>
      <w:r w:rsidR="00DF2FAC" w:rsidRPr="00AA1CC4">
        <w:rPr>
          <w:rFonts w:asciiTheme="minorHAnsi" w:hAnsiTheme="minorHAnsi"/>
          <w:color w:val="2E74B5" w:themeColor="accent1" w:themeShade="BF"/>
          <w:sz w:val="40"/>
        </w:rPr>
        <w:t xml:space="preserve">   </w:t>
      </w:r>
      <w:r w:rsidRPr="00DF2FAC">
        <w:rPr>
          <w:rFonts w:asciiTheme="minorHAnsi" w:hAnsiTheme="minorHAnsi"/>
          <w:color w:val="2F5496" w:themeColor="accent5" w:themeShade="BF"/>
        </w:rPr>
        <w:tab/>
      </w:r>
    </w:p>
    <w:sdt>
      <w:sdtPr>
        <w:rPr>
          <w:rFonts w:asciiTheme="minorHAnsi" w:eastAsiaTheme="minorHAnsi" w:hAnsiTheme="minorHAnsi" w:cstheme="minorBidi"/>
          <w:b w:val="0"/>
          <w:bCs w:val="0"/>
          <w:color w:val="auto"/>
          <w:sz w:val="22"/>
          <w:szCs w:val="22"/>
          <w:lang w:val="en-AU" w:eastAsia="en-US"/>
        </w:rPr>
        <w:id w:val="317930068"/>
        <w:docPartObj>
          <w:docPartGallery w:val="Table of Contents"/>
          <w:docPartUnique/>
        </w:docPartObj>
      </w:sdtPr>
      <w:sdtEndPr>
        <w:rPr>
          <w:noProof/>
        </w:rPr>
      </w:sdtEndPr>
      <w:sdtContent>
        <w:p w:rsidR="00D02973" w:rsidRPr="00AA1CC4" w:rsidRDefault="00D02973" w:rsidP="00D02973">
          <w:pPr>
            <w:pStyle w:val="TOCHeading"/>
            <w:spacing w:after="200"/>
            <w:rPr>
              <w:rFonts w:asciiTheme="minorHAnsi" w:hAnsiTheme="minorHAnsi"/>
              <w:color w:val="2E74B5" w:themeColor="accent1" w:themeShade="BF"/>
            </w:rPr>
          </w:pPr>
          <w:r w:rsidRPr="00AA1CC4">
            <w:rPr>
              <w:rFonts w:asciiTheme="minorHAnsi" w:hAnsiTheme="minorHAnsi"/>
              <w:color w:val="2E74B5" w:themeColor="accent1" w:themeShade="BF"/>
            </w:rPr>
            <w:t>Contents</w:t>
          </w:r>
        </w:p>
        <w:p w:rsidR="00D02973" w:rsidRDefault="00D02973" w:rsidP="00D02973">
          <w:pPr>
            <w:pStyle w:val="TOC1"/>
            <w:tabs>
              <w:tab w:val="right" w:leader="dot" w:pos="9017"/>
            </w:tabs>
            <w:rPr>
              <w:rFonts w:eastAsiaTheme="minorEastAsia"/>
              <w:noProof/>
              <w:lang w:eastAsia="en-AU"/>
            </w:rPr>
          </w:pPr>
          <w:r w:rsidRPr="00C00174">
            <w:fldChar w:fldCharType="begin"/>
          </w:r>
          <w:r w:rsidRPr="00C00174">
            <w:instrText xml:space="preserve"> TOC \o "1-3" \h \z \u </w:instrText>
          </w:r>
          <w:r w:rsidRPr="00C00174">
            <w:fldChar w:fldCharType="separate"/>
          </w:r>
          <w:hyperlink w:anchor="_Toc448475159" w:history="1">
            <w:r w:rsidRPr="004B76D5">
              <w:rPr>
                <w:rStyle w:val="Hyperlink"/>
                <w:noProof/>
              </w:rPr>
              <w:t>Executive Summary</w:t>
            </w:r>
            <w:r>
              <w:rPr>
                <w:noProof/>
                <w:webHidden/>
              </w:rPr>
              <w:tab/>
            </w:r>
            <w:r>
              <w:rPr>
                <w:noProof/>
                <w:webHidden/>
              </w:rPr>
              <w:fldChar w:fldCharType="begin"/>
            </w:r>
            <w:r>
              <w:rPr>
                <w:noProof/>
                <w:webHidden/>
              </w:rPr>
              <w:instrText xml:space="preserve"> PAGEREF _Toc448475159 \h </w:instrText>
            </w:r>
            <w:r>
              <w:rPr>
                <w:noProof/>
                <w:webHidden/>
              </w:rPr>
            </w:r>
            <w:r>
              <w:rPr>
                <w:noProof/>
                <w:webHidden/>
              </w:rPr>
              <w:fldChar w:fldCharType="separate"/>
            </w:r>
            <w:r w:rsidR="009A42EB">
              <w:rPr>
                <w:noProof/>
                <w:webHidden/>
              </w:rPr>
              <w:t>5</w:t>
            </w:r>
            <w:r>
              <w:rPr>
                <w:noProof/>
                <w:webHidden/>
              </w:rPr>
              <w:fldChar w:fldCharType="end"/>
            </w:r>
          </w:hyperlink>
        </w:p>
        <w:p w:rsidR="00D02973" w:rsidRDefault="000702B7" w:rsidP="00D02973">
          <w:pPr>
            <w:pStyle w:val="TOC1"/>
            <w:tabs>
              <w:tab w:val="left" w:pos="720"/>
              <w:tab w:val="right" w:leader="dot" w:pos="9017"/>
            </w:tabs>
            <w:rPr>
              <w:rFonts w:eastAsiaTheme="minorEastAsia"/>
              <w:noProof/>
              <w:lang w:eastAsia="en-AU"/>
            </w:rPr>
          </w:pPr>
          <w:hyperlink w:anchor="_Toc448475160" w:history="1">
            <w:r w:rsidR="00D02973" w:rsidRPr="004B76D5">
              <w:rPr>
                <w:rStyle w:val="Hyperlink"/>
                <w:noProof/>
              </w:rPr>
              <w:t xml:space="preserve">1.0 </w:t>
            </w:r>
            <w:r w:rsidR="00D02973">
              <w:rPr>
                <w:rFonts w:eastAsiaTheme="minorEastAsia"/>
                <w:noProof/>
                <w:lang w:eastAsia="en-AU"/>
              </w:rPr>
              <w:tab/>
            </w:r>
            <w:r w:rsidR="00D02973" w:rsidRPr="004B76D5">
              <w:rPr>
                <w:rStyle w:val="Hyperlink"/>
                <w:noProof/>
              </w:rPr>
              <w:t>Introduction</w:t>
            </w:r>
            <w:r w:rsidR="00D02973">
              <w:rPr>
                <w:noProof/>
                <w:webHidden/>
              </w:rPr>
              <w:tab/>
            </w:r>
            <w:r w:rsidR="00D02973">
              <w:rPr>
                <w:noProof/>
                <w:webHidden/>
              </w:rPr>
              <w:fldChar w:fldCharType="begin"/>
            </w:r>
            <w:r w:rsidR="00D02973">
              <w:rPr>
                <w:noProof/>
                <w:webHidden/>
              </w:rPr>
              <w:instrText xml:space="preserve"> PAGEREF _Toc448475160 \h </w:instrText>
            </w:r>
            <w:r w:rsidR="00D02973">
              <w:rPr>
                <w:noProof/>
                <w:webHidden/>
              </w:rPr>
            </w:r>
            <w:r w:rsidR="00D02973">
              <w:rPr>
                <w:noProof/>
                <w:webHidden/>
              </w:rPr>
              <w:fldChar w:fldCharType="separate"/>
            </w:r>
            <w:r w:rsidR="009A42EB">
              <w:rPr>
                <w:noProof/>
                <w:webHidden/>
              </w:rPr>
              <w:t>9</w:t>
            </w:r>
            <w:r w:rsidR="00D02973">
              <w:rPr>
                <w:noProof/>
                <w:webHidden/>
              </w:rPr>
              <w:fldChar w:fldCharType="end"/>
            </w:r>
          </w:hyperlink>
        </w:p>
        <w:p w:rsidR="00D02973" w:rsidRDefault="000702B7" w:rsidP="00D02973">
          <w:pPr>
            <w:pStyle w:val="TOC2"/>
            <w:tabs>
              <w:tab w:val="left" w:pos="720"/>
              <w:tab w:val="right" w:leader="dot" w:pos="9017"/>
            </w:tabs>
            <w:rPr>
              <w:rFonts w:eastAsiaTheme="minorEastAsia"/>
              <w:noProof/>
              <w:lang w:eastAsia="en-AU"/>
            </w:rPr>
          </w:pPr>
          <w:hyperlink w:anchor="_Toc448475161" w:history="1">
            <w:r w:rsidR="00D02973" w:rsidRPr="004B76D5">
              <w:rPr>
                <w:rStyle w:val="Hyperlink"/>
                <w:noProof/>
              </w:rPr>
              <w:t>1.1</w:t>
            </w:r>
            <w:r w:rsidR="00D02973">
              <w:rPr>
                <w:rFonts w:eastAsiaTheme="minorEastAsia"/>
                <w:noProof/>
                <w:lang w:eastAsia="en-AU"/>
              </w:rPr>
              <w:tab/>
            </w:r>
            <w:r w:rsidR="00D02973" w:rsidRPr="004B76D5">
              <w:rPr>
                <w:rStyle w:val="Hyperlink"/>
                <w:noProof/>
              </w:rPr>
              <w:t>Scope and Purpose</w:t>
            </w:r>
            <w:r w:rsidR="00D02973">
              <w:rPr>
                <w:noProof/>
                <w:webHidden/>
              </w:rPr>
              <w:tab/>
            </w:r>
            <w:r w:rsidR="00D02973">
              <w:rPr>
                <w:noProof/>
                <w:webHidden/>
              </w:rPr>
              <w:fldChar w:fldCharType="begin"/>
            </w:r>
            <w:r w:rsidR="00D02973">
              <w:rPr>
                <w:noProof/>
                <w:webHidden/>
              </w:rPr>
              <w:instrText xml:space="preserve"> PAGEREF _Toc448475161 \h </w:instrText>
            </w:r>
            <w:r w:rsidR="00D02973">
              <w:rPr>
                <w:noProof/>
                <w:webHidden/>
              </w:rPr>
            </w:r>
            <w:r w:rsidR="00D02973">
              <w:rPr>
                <w:noProof/>
                <w:webHidden/>
              </w:rPr>
              <w:fldChar w:fldCharType="separate"/>
            </w:r>
            <w:r w:rsidR="009A42EB">
              <w:rPr>
                <w:noProof/>
                <w:webHidden/>
              </w:rPr>
              <w:t>9</w:t>
            </w:r>
            <w:r w:rsidR="00D02973">
              <w:rPr>
                <w:noProof/>
                <w:webHidden/>
              </w:rPr>
              <w:fldChar w:fldCharType="end"/>
            </w:r>
          </w:hyperlink>
        </w:p>
        <w:p w:rsidR="00D02973" w:rsidRDefault="000702B7" w:rsidP="00D02973">
          <w:pPr>
            <w:pStyle w:val="TOC2"/>
            <w:tabs>
              <w:tab w:val="left" w:pos="720"/>
              <w:tab w:val="right" w:leader="dot" w:pos="9017"/>
            </w:tabs>
            <w:rPr>
              <w:rFonts w:eastAsiaTheme="minorEastAsia"/>
              <w:noProof/>
              <w:lang w:eastAsia="en-AU"/>
            </w:rPr>
          </w:pPr>
          <w:hyperlink w:anchor="_Toc448475162" w:history="1">
            <w:r w:rsidR="00D02973" w:rsidRPr="004B76D5">
              <w:rPr>
                <w:rStyle w:val="Hyperlink"/>
                <w:noProof/>
              </w:rPr>
              <w:t>1.2</w:t>
            </w:r>
            <w:r w:rsidR="00D02973">
              <w:rPr>
                <w:rFonts w:eastAsiaTheme="minorEastAsia"/>
                <w:noProof/>
                <w:lang w:eastAsia="en-AU"/>
              </w:rPr>
              <w:tab/>
            </w:r>
            <w:r w:rsidR="00D02973" w:rsidRPr="004B76D5">
              <w:rPr>
                <w:rStyle w:val="Hyperlink"/>
                <w:noProof/>
              </w:rPr>
              <w:t>Assumptions</w:t>
            </w:r>
            <w:r w:rsidR="00D02973">
              <w:rPr>
                <w:noProof/>
                <w:webHidden/>
              </w:rPr>
              <w:tab/>
            </w:r>
            <w:r w:rsidR="00D02973">
              <w:rPr>
                <w:noProof/>
                <w:webHidden/>
              </w:rPr>
              <w:fldChar w:fldCharType="begin"/>
            </w:r>
            <w:r w:rsidR="00D02973">
              <w:rPr>
                <w:noProof/>
                <w:webHidden/>
              </w:rPr>
              <w:instrText xml:space="preserve"> PAGEREF _Toc448475162 \h </w:instrText>
            </w:r>
            <w:r w:rsidR="00D02973">
              <w:rPr>
                <w:noProof/>
                <w:webHidden/>
              </w:rPr>
            </w:r>
            <w:r w:rsidR="00D02973">
              <w:rPr>
                <w:noProof/>
                <w:webHidden/>
              </w:rPr>
              <w:fldChar w:fldCharType="separate"/>
            </w:r>
            <w:r w:rsidR="009A42EB">
              <w:rPr>
                <w:noProof/>
                <w:webHidden/>
              </w:rPr>
              <w:t>10</w:t>
            </w:r>
            <w:r w:rsidR="00D02973">
              <w:rPr>
                <w:noProof/>
                <w:webHidden/>
              </w:rPr>
              <w:fldChar w:fldCharType="end"/>
            </w:r>
          </w:hyperlink>
        </w:p>
        <w:p w:rsidR="00D02973" w:rsidRDefault="000702B7" w:rsidP="00D02973">
          <w:pPr>
            <w:pStyle w:val="TOC2"/>
            <w:tabs>
              <w:tab w:val="left" w:pos="720"/>
              <w:tab w:val="right" w:leader="dot" w:pos="9017"/>
            </w:tabs>
            <w:rPr>
              <w:rFonts w:eastAsiaTheme="minorEastAsia"/>
              <w:noProof/>
              <w:lang w:eastAsia="en-AU"/>
            </w:rPr>
          </w:pPr>
          <w:hyperlink w:anchor="_Toc448475163" w:history="1">
            <w:r w:rsidR="00D02973" w:rsidRPr="004B76D5">
              <w:rPr>
                <w:rStyle w:val="Hyperlink"/>
                <w:noProof/>
              </w:rPr>
              <w:t>1.3</w:t>
            </w:r>
            <w:r w:rsidR="00D02973">
              <w:rPr>
                <w:rFonts w:eastAsiaTheme="minorEastAsia"/>
                <w:noProof/>
                <w:lang w:eastAsia="en-AU"/>
              </w:rPr>
              <w:tab/>
            </w:r>
            <w:r w:rsidR="00D02973" w:rsidRPr="004B76D5">
              <w:rPr>
                <w:rStyle w:val="Hyperlink"/>
                <w:noProof/>
              </w:rPr>
              <w:t>Glossary and Abbreviations</w:t>
            </w:r>
            <w:r w:rsidR="00D02973">
              <w:rPr>
                <w:noProof/>
                <w:webHidden/>
              </w:rPr>
              <w:tab/>
            </w:r>
            <w:r w:rsidR="00D02973">
              <w:rPr>
                <w:noProof/>
                <w:webHidden/>
              </w:rPr>
              <w:fldChar w:fldCharType="begin"/>
            </w:r>
            <w:r w:rsidR="00D02973">
              <w:rPr>
                <w:noProof/>
                <w:webHidden/>
              </w:rPr>
              <w:instrText xml:space="preserve"> PAGEREF _Toc448475163 \h </w:instrText>
            </w:r>
            <w:r w:rsidR="00D02973">
              <w:rPr>
                <w:noProof/>
                <w:webHidden/>
              </w:rPr>
            </w:r>
            <w:r w:rsidR="00D02973">
              <w:rPr>
                <w:noProof/>
                <w:webHidden/>
              </w:rPr>
              <w:fldChar w:fldCharType="separate"/>
            </w:r>
            <w:r w:rsidR="009A42EB">
              <w:rPr>
                <w:noProof/>
                <w:webHidden/>
              </w:rPr>
              <w:t>10</w:t>
            </w:r>
            <w:r w:rsidR="00D02973">
              <w:rPr>
                <w:noProof/>
                <w:webHidden/>
              </w:rPr>
              <w:fldChar w:fldCharType="end"/>
            </w:r>
          </w:hyperlink>
        </w:p>
        <w:p w:rsidR="00D02973" w:rsidRDefault="000702B7" w:rsidP="00D02973">
          <w:pPr>
            <w:pStyle w:val="TOC2"/>
            <w:tabs>
              <w:tab w:val="left" w:pos="720"/>
              <w:tab w:val="right" w:leader="dot" w:pos="9017"/>
            </w:tabs>
            <w:rPr>
              <w:rFonts w:eastAsiaTheme="minorEastAsia"/>
              <w:noProof/>
              <w:lang w:eastAsia="en-AU"/>
            </w:rPr>
          </w:pPr>
          <w:hyperlink w:anchor="_Toc448475164" w:history="1">
            <w:r w:rsidR="00D02973" w:rsidRPr="004B76D5">
              <w:rPr>
                <w:rStyle w:val="Hyperlink"/>
                <w:noProof/>
              </w:rPr>
              <w:t>1.4</w:t>
            </w:r>
            <w:r w:rsidR="00D02973">
              <w:rPr>
                <w:rFonts w:eastAsiaTheme="minorEastAsia"/>
                <w:noProof/>
                <w:lang w:eastAsia="en-AU"/>
              </w:rPr>
              <w:tab/>
            </w:r>
            <w:r w:rsidR="00D02973" w:rsidRPr="004B76D5">
              <w:rPr>
                <w:rStyle w:val="Hyperlink"/>
                <w:noProof/>
              </w:rPr>
              <w:t>Key Stakeholders</w:t>
            </w:r>
            <w:r w:rsidR="00D02973">
              <w:rPr>
                <w:noProof/>
                <w:webHidden/>
              </w:rPr>
              <w:tab/>
            </w:r>
            <w:r w:rsidR="00D02973">
              <w:rPr>
                <w:noProof/>
                <w:webHidden/>
              </w:rPr>
              <w:fldChar w:fldCharType="begin"/>
            </w:r>
            <w:r w:rsidR="00D02973">
              <w:rPr>
                <w:noProof/>
                <w:webHidden/>
              </w:rPr>
              <w:instrText xml:space="preserve"> PAGEREF _Toc448475164 \h </w:instrText>
            </w:r>
            <w:r w:rsidR="00D02973">
              <w:rPr>
                <w:noProof/>
                <w:webHidden/>
              </w:rPr>
            </w:r>
            <w:r w:rsidR="00D02973">
              <w:rPr>
                <w:noProof/>
                <w:webHidden/>
              </w:rPr>
              <w:fldChar w:fldCharType="separate"/>
            </w:r>
            <w:r w:rsidR="009A42EB">
              <w:rPr>
                <w:noProof/>
                <w:webHidden/>
              </w:rPr>
              <w:t>11</w:t>
            </w:r>
            <w:r w:rsidR="00D02973">
              <w:rPr>
                <w:noProof/>
                <w:webHidden/>
              </w:rPr>
              <w:fldChar w:fldCharType="end"/>
            </w:r>
          </w:hyperlink>
        </w:p>
        <w:p w:rsidR="00D02973" w:rsidRDefault="000702B7" w:rsidP="00D02973">
          <w:pPr>
            <w:pStyle w:val="TOC2"/>
            <w:tabs>
              <w:tab w:val="left" w:pos="720"/>
              <w:tab w:val="right" w:leader="dot" w:pos="9017"/>
            </w:tabs>
            <w:rPr>
              <w:rFonts w:eastAsiaTheme="minorEastAsia"/>
              <w:noProof/>
              <w:lang w:eastAsia="en-AU"/>
            </w:rPr>
          </w:pPr>
          <w:hyperlink w:anchor="_Toc448475165" w:history="1">
            <w:r w:rsidR="00D02973" w:rsidRPr="004B76D5">
              <w:rPr>
                <w:rStyle w:val="Hyperlink"/>
                <w:noProof/>
              </w:rPr>
              <w:t>1.5</w:t>
            </w:r>
            <w:r w:rsidR="00D02973">
              <w:rPr>
                <w:rFonts w:eastAsiaTheme="minorEastAsia"/>
                <w:noProof/>
                <w:lang w:eastAsia="en-AU"/>
              </w:rPr>
              <w:tab/>
            </w:r>
            <w:r w:rsidR="00D02973" w:rsidRPr="004B76D5">
              <w:rPr>
                <w:rStyle w:val="Hyperlink"/>
                <w:noProof/>
              </w:rPr>
              <w:t>Legislative Requirements</w:t>
            </w:r>
            <w:r w:rsidR="00D02973">
              <w:rPr>
                <w:noProof/>
                <w:webHidden/>
              </w:rPr>
              <w:tab/>
            </w:r>
            <w:r w:rsidR="00D02973">
              <w:rPr>
                <w:noProof/>
                <w:webHidden/>
              </w:rPr>
              <w:fldChar w:fldCharType="begin"/>
            </w:r>
            <w:r w:rsidR="00D02973">
              <w:rPr>
                <w:noProof/>
                <w:webHidden/>
              </w:rPr>
              <w:instrText xml:space="preserve"> PAGEREF _Toc448475165 \h </w:instrText>
            </w:r>
            <w:r w:rsidR="00D02973">
              <w:rPr>
                <w:noProof/>
                <w:webHidden/>
              </w:rPr>
            </w:r>
            <w:r w:rsidR="00D02973">
              <w:rPr>
                <w:noProof/>
                <w:webHidden/>
              </w:rPr>
              <w:fldChar w:fldCharType="separate"/>
            </w:r>
            <w:r w:rsidR="009A42EB">
              <w:rPr>
                <w:noProof/>
                <w:webHidden/>
              </w:rPr>
              <w:t>13</w:t>
            </w:r>
            <w:r w:rsidR="00D02973">
              <w:rPr>
                <w:noProof/>
                <w:webHidden/>
              </w:rPr>
              <w:fldChar w:fldCharType="end"/>
            </w:r>
          </w:hyperlink>
        </w:p>
        <w:p w:rsidR="00D02973" w:rsidRDefault="000702B7" w:rsidP="00D02973">
          <w:pPr>
            <w:pStyle w:val="TOC2"/>
            <w:tabs>
              <w:tab w:val="left" w:pos="720"/>
              <w:tab w:val="right" w:leader="dot" w:pos="9017"/>
            </w:tabs>
            <w:rPr>
              <w:rFonts w:eastAsiaTheme="minorEastAsia"/>
              <w:noProof/>
              <w:lang w:eastAsia="en-AU"/>
            </w:rPr>
          </w:pPr>
          <w:hyperlink w:anchor="_Toc448475166" w:history="1">
            <w:r w:rsidR="00D02973" w:rsidRPr="004B76D5">
              <w:rPr>
                <w:rStyle w:val="Hyperlink"/>
                <w:noProof/>
              </w:rPr>
              <w:t>1.6</w:t>
            </w:r>
            <w:r w:rsidR="00D02973">
              <w:rPr>
                <w:rFonts w:eastAsiaTheme="minorEastAsia"/>
                <w:noProof/>
                <w:lang w:eastAsia="en-AU"/>
              </w:rPr>
              <w:tab/>
            </w:r>
            <w:r w:rsidR="00D02973" w:rsidRPr="004B76D5">
              <w:rPr>
                <w:rStyle w:val="Hyperlink"/>
                <w:noProof/>
              </w:rPr>
              <w:t>Key issues with Asset Based Recreation and Open Space Services</w:t>
            </w:r>
            <w:r w:rsidR="00D02973">
              <w:rPr>
                <w:noProof/>
                <w:webHidden/>
              </w:rPr>
              <w:tab/>
            </w:r>
            <w:r w:rsidR="00D02973">
              <w:rPr>
                <w:noProof/>
                <w:webHidden/>
              </w:rPr>
              <w:fldChar w:fldCharType="begin"/>
            </w:r>
            <w:r w:rsidR="00D02973">
              <w:rPr>
                <w:noProof/>
                <w:webHidden/>
              </w:rPr>
              <w:instrText xml:space="preserve"> PAGEREF _Toc448475166 \h </w:instrText>
            </w:r>
            <w:r w:rsidR="00D02973">
              <w:rPr>
                <w:noProof/>
                <w:webHidden/>
              </w:rPr>
            </w:r>
            <w:r w:rsidR="00D02973">
              <w:rPr>
                <w:noProof/>
                <w:webHidden/>
              </w:rPr>
              <w:fldChar w:fldCharType="separate"/>
            </w:r>
            <w:r w:rsidR="009A42EB">
              <w:rPr>
                <w:noProof/>
                <w:webHidden/>
              </w:rPr>
              <w:t>14</w:t>
            </w:r>
            <w:r w:rsidR="00D02973">
              <w:rPr>
                <w:noProof/>
                <w:webHidden/>
              </w:rPr>
              <w:fldChar w:fldCharType="end"/>
            </w:r>
          </w:hyperlink>
        </w:p>
        <w:p w:rsidR="00D02973" w:rsidRDefault="000702B7" w:rsidP="00D02973">
          <w:pPr>
            <w:pStyle w:val="TOC1"/>
            <w:tabs>
              <w:tab w:val="left" w:pos="720"/>
              <w:tab w:val="right" w:leader="dot" w:pos="9017"/>
            </w:tabs>
            <w:rPr>
              <w:rFonts w:eastAsiaTheme="minorEastAsia"/>
              <w:noProof/>
              <w:lang w:eastAsia="en-AU"/>
            </w:rPr>
          </w:pPr>
          <w:hyperlink w:anchor="_Toc448475167" w:history="1">
            <w:r w:rsidR="00D02973" w:rsidRPr="004B76D5">
              <w:rPr>
                <w:rStyle w:val="Hyperlink"/>
                <w:noProof/>
              </w:rPr>
              <w:t>2.0</w:t>
            </w:r>
            <w:r w:rsidR="00D02973">
              <w:rPr>
                <w:rFonts w:eastAsiaTheme="minorEastAsia"/>
                <w:noProof/>
                <w:lang w:eastAsia="en-AU"/>
              </w:rPr>
              <w:tab/>
            </w:r>
            <w:r w:rsidR="00D02973" w:rsidRPr="004B76D5">
              <w:rPr>
                <w:rStyle w:val="Hyperlink"/>
                <w:noProof/>
              </w:rPr>
              <w:t>Asset Function &amp; Levels of Service</w:t>
            </w:r>
            <w:r w:rsidR="00D02973">
              <w:rPr>
                <w:noProof/>
                <w:webHidden/>
              </w:rPr>
              <w:tab/>
            </w:r>
            <w:r w:rsidR="00D02973">
              <w:rPr>
                <w:noProof/>
                <w:webHidden/>
              </w:rPr>
              <w:fldChar w:fldCharType="begin"/>
            </w:r>
            <w:r w:rsidR="00D02973">
              <w:rPr>
                <w:noProof/>
                <w:webHidden/>
              </w:rPr>
              <w:instrText xml:space="preserve"> PAGEREF _Toc448475167 \h </w:instrText>
            </w:r>
            <w:r w:rsidR="00D02973">
              <w:rPr>
                <w:noProof/>
                <w:webHidden/>
              </w:rPr>
            </w:r>
            <w:r w:rsidR="00D02973">
              <w:rPr>
                <w:noProof/>
                <w:webHidden/>
              </w:rPr>
              <w:fldChar w:fldCharType="separate"/>
            </w:r>
            <w:r w:rsidR="009A42EB">
              <w:rPr>
                <w:noProof/>
                <w:webHidden/>
              </w:rPr>
              <w:t>15</w:t>
            </w:r>
            <w:r w:rsidR="00D02973">
              <w:rPr>
                <w:noProof/>
                <w:webHidden/>
              </w:rPr>
              <w:fldChar w:fldCharType="end"/>
            </w:r>
          </w:hyperlink>
        </w:p>
        <w:p w:rsidR="00D02973" w:rsidRDefault="000702B7" w:rsidP="00D02973">
          <w:pPr>
            <w:pStyle w:val="TOC2"/>
            <w:tabs>
              <w:tab w:val="left" w:pos="960"/>
              <w:tab w:val="right" w:leader="dot" w:pos="9017"/>
            </w:tabs>
            <w:rPr>
              <w:rFonts w:eastAsiaTheme="minorEastAsia"/>
              <w:noProof/>
              <w:lang w:eastAsia="en-AU"/>
            </w:rPr>
          </w:pPr>
          <w:hyperlink w:anchor="_Toc448475168" w:history="1">
            <w:r w:rsidR="00D02973" w:rsidRPr="004B76D5">
              <w:rPr>
                <w:rStyle w:val="Hyperlink"/>
                <w:noProof/>
              </w:rPr>
              <w:t xml:space="preserve">2.1 </w:t>
            </w:r>
            <w:r w:rsidR="00D02973">
              <w:rPr>
                <w:rFonts w:eastAsiaTheme="minorEastAsia"/>
                <w:noProof/>
                <w:lang w:eastAsia="en-AU"/>
              </w:rPr>
              <w:tab/>
            </w:r>
            <w:r w:rsidR="00D02973" w:rsidRPr="004B76D5">
              <w:rPr>
                <w:rStyle w:val="Hyperlink"/>
                <w:noProof/>
              </w:rPr>
              <w:t>Function of Recreation and Open Space Assets</w:t>
            </w:r>
            <w:r w:rsidR="00D02973">
              <w:rPr>
                <w:noProof/>
                <w:webHidden/>
              </w:rPr>
              <w:tab/>
            </w:r>
            <w:r w:rsidR="00D02973">
              <w:rPr>
                <w:noProof/>
                <w:webHidden/>
              </w:rPr>
              <w:fldChar w:fldCharType="begin"/>
            </w:r>
            <w:r w:rsidR="00D02973">
              <w:rPr>
                <w:noProof/>
                <w:webHidden/>
              </w:rPr>
              <w:instrText xml:space="preserve"> PAGEREF _Toc448475168 \h </w:instrText>
            </w:r>
            <w:r w:rsidR="00D02973">
              <w:rPr>
                <w:noProof/>
                <w:webHidden/>
              </w:rPr>
            </w:r>
            <w:r w:rsidR="00D02973">
              <w:rPr>
                <w:noProof/>
                <w:webHidden/>
              </w:rPr>
              <w:fldChar w:fldCharType="separate"/>
            </w:r>
            <w:r w:rsidR="009A42EB">
              <w:rPr>
                <w:noProof/>
                <w:webHidden/>
              </w:rPr>
              <w:t>15</w:t>
            </w:r>
            <w:r w:rsidR="00D02973">
              <w:rPr>
                <w:noProof/>
                <w:webHidden/>
              </w:rPr>
              <w:fldChar w:fldCharType="end"/>
            </w:r>
          </w:hyperlink>
        </w:p>
        <w:p w:rsidR="00D02973" w:rsidRDefault="000702B7" w:rsidP="00D02973">
          <w:pPr>
            <w:pStyle w:val="TOC2"/>
            <w:tabs>
              <w:tab w:val="left" w:pos="960"/>
              <w:tab w:val="right" w:leader="dot" w:pos="9017"/>
            </w:tabs>
            <w:rPr>
              <w:rFonts w:eastAsiaTheme="minorEastAsia"/>
              <w:noProof/>
              <w:lang w:eastAsia="en-AU"/>
            </w:rPr>
          </w:pPr>
          <w:hyperlink w:anchor="_Toc448475169" w:history="1">
            <w:r w:rsidR="00D02973" w:rsidRPr="004B76D5">
              <w:rPr>
                <w:rStyle w:val="Hyperlink"/>
                <w:noProof/>
              </w:rPr>
              <w:t xml:space="preserve">2.2 </w:t>
            </w:r>
            <w:r w:rsidR="00D02973">
              <w:rPr>
                <w:rFonts w:eastAsiaTheme="minorEastAsia"/>
                <w:noProof/>
                <w:lang w:eastAsia="en-AU"/>
              </w:rPr>
              <w:tab/>
            </w:r>
            <w:r w:rsidR="00D02973" w:rsidRPr="004B76D5">
              <w:rPr>
                <w:rStyle w:val="Hyperlink"/>
                <w:noProof/>
              </w:rPr>
              <w:t>Functional Hierarchy</w:t>
            </w:r>
            <w:r w:rsidR="00D02973">
              <w:rPr>
                <w:noProof/>
                <w:webHidden/>
              </w:rPr>
              <w:tab/>
            </w:r>
            <w:r w:rsidR="00D02973">
              <w:rPr>
                <w:noProof/>
                <w:webHidden/>
              </w:rPr>
              <w:fldChar w:fldCharType="begin"/>
            </w:r>
            <w:r w:rsidR="00D02973">
              <w:rPr>
                <w:noProof/>
                <w:webHidden/>
              </w:rPr>
              <w:instrText xml:space="preserve"> PAGEREF _Toc448475169 \h </w:instrText>
            </w:r>
            <w:r w:rsidR="00D02973">
              <w:rPr>
                <w:noProof/>
                <w:webHidden/>
              </w:rPr>
            </w:r>
            <w:r w:rsidR="00D02973">
              <w:rPr>
                <w:noProof/>
                <w:webHidden/>
              </w:rPr>
              <w:fldChar w:fldCharType="separate"/>
            </w:r>
            <w:r w:rsidR="009A42EB">
              <w:rPr>
                <w:noProof/>
                <w:webHidden/>
              </w:rPr>
              <w:t>16</w:t>
            </w:r>
            <w:r w:rsidR="00D02973">
              <w:rPr>
                <w:noProof/>
                <w:webHidden/>
              </w:rPr>
              <w:fldChar w:fldCharType="end"/>
            </w:r>
          </w:hyperlink>
        </w:p>
        <w:p w:rsidR="00D02973" w:rsidRDefault="000702B7" w:rsidP="00D02973">
          <w:pPr>
            <w:pStyle w:val="TOC2"/>
            <w:tabs>
              <w:tab w:val="left" w:pos="960"/>
              <w:tab w:val="right" w:leader="dot" w:pos="9017"/>
            </w:tabs>
            <w:rPr>
              <w:rFonts w:eastAsiaTheme="minorEastAsia"/>
              <w:noProof/>
              <w:lang w:eastAsia="en-AU"/>
            </w:rPr>
          </w:pPr>
          <w:hyperlink w:anchor="_Toc448475170" w:history="1">
            <w:r w:rsidR="00D02973" w:rsidRPr="004B76D5">
              <w:rPr>
                <w:rStyle w:val="Hyperlink"/>
                <w:noProof/>
              </w:rPr>
              <w:t xml:space="preserve">2.3 </w:t>
            </w:r>
            <w:r w:rsidR="00D02973">
              <w:rPr>
                <w:rFonts w:eastAsiaTheme="minorEastAsia"/>
                <w:noProof/>
                <w:lang w:eastAsia="en-AU"/>
              </w:rPr>
              <w:tab/>
            </w:r>
            <w:r w:rsidR="00D02973" w:rsidRPr="004B76D5">
              <w:rPr>
                <w:rStyle w:val="Hyperlink"/>
                <w:noProof/>
              </w:rPr>
              <w:t>Design Standards</w:t>
            </w:r>
            <w:r w:rsidR="00D02973">
              <w:rPr>
                <w:noProof/>
                <w:webHidden/>
              </w:rPr>
              <w:tab/>
            </w:r>
            <w:r w:rsidR="00D02973">
              <w:rPr>
                <w:noProof/>
                <w:webHidden/>
              </w:rPr>
              <w:fldChar w:fldCharType="begin"/>
            </w:r>
            <w:r w:rsidR="00D02973">
              <w:rPr>
                <w:noProof/>
                <w:webHidden/>
              </w:rPr>
              <w:instrText xml:space="preserve"> PAGEREF _Toc448475170 \h </w:instrText>
            </w:r>
            <w:r w:rsidR="00D02973">
              <w:rPr>
                <w:noProof/>
                <w:webHidden/>
              </w:rPr>
            </w:r>
            <w:r w:rsidR="00D02973">
              <w:rPr>
                <w:noProof/>
                <w:webHidden/>
              </w:rPr>
              <w:fldChar w:fldCharType="separate"/>
            </w:r>
            <w:r w:rsidR="009A42EB">
              <w:rPr>
                <w:noProof/>
                <w:webHidden/>
              </w:rPr>
              <w:t>17</w:t>
            </w:r>
            <w:r w:rsidR="00D02973">
              <w:rPr>
                <w:noProof/>
                <w:webHidden/>
              </w:rPr>
              <w:fldChar w:fldCharType="end"/>
            </w:r>
          </w:hyperlink>
        </w:p>
        <w:p w:rsidR="00D02973" w:rsidRDefault="000702B7" w:rsidP="00D02973">
          <w:pPr>
            <w:pStyle w:val="TOC3"/>
            <w:tabs>
              <w:tab w:val="left" w:pos="1200"/>
              <w:tab w:val="right" w:leader="dot" w:pos="9017"/>
            </w:tabs>
            <w:rPr>
              <w:rFonts w:eastAsiaTheme="minorEastAsia"/>
              <w:noProof/>
              <w:lang w:eastAsia="en-AU"/>
            </w:rPr>
          </w:pPr>
          <w:hyperlink w:anchor="_Toc448475171" w:history="1">
            <w:r w:rsidR="00D02973" w:rsidRPr="004B76D5">
              <w:rPr>
                <w:rStyle w:val="Hyperlink"/>
                <w:noProof/>
              </w:rPr>
              <w:t xml:space="preserve">2.3.1 </w:t>
            </w:r>
            <w:r w:rsidR="00D02973">
              <w:rPr>
                <w:rFonts w:eastAsiaTheme="minorEastAsia"/>
                <w:noProof/>
                <w:lang w:eastAsia="en-AU"/>
              </w:rPr>
              <w:tab/>
            </w:r>
            <w:r w:rsidR="00D02973" w:rsidRPr="004B76D5">
              <w:rPr>
                <w:rStyle w:val="Hyperlink"/>
                <w:noProof/>
              </w:rPr>
              <w:t>Disability Discrimination Act (1992)</w:t>
            </w:r>
            <w:r w:rsidR="00D02973">
              <w:rPr>
                <w:noProof/>
                <w:webHidden/>
              </w:rPr>
              <w:tab/>
            </w:r>
            <w:r w:rsidR="00D02973">
              <w:rPr>
                <w:noProof/>
                <w:webHidden/>
              </w:rPr>
              <w:fldChar w:fldCharType="begin"/>
            </w:r>
            <w:r w:rsidR="00D02973">
              <w:rPr>
                <w:noProof/>
                <w:webHidden/>
              </w:rPr>
              <w:instrText xml:space="preserve"> PAGEREF _Toc448475171 \h </w:instrText>
            </w:r>
            <w:r w:rsidR="00D02973">
              <w:rPr>
                <w:noProof/>
                <w:webHidden/>
              </w:rPr>
            </w:r>
            <w:r w:rsidR="00D02973">
              <w:rPr>
                <w:noProof/>
                <w:webHidden/>
              </w:rPr>
              <w:fldChar w:fldCharType="separate"/>
            </w:r>
            <w:r w:rsidR="009A42EB">
              <w:rPr>
                <w:noProof/>
                <w:webHidden/>
              </w:rPr>
              <w:t>17</w:t>
            </w:r>
            <w:r w:rsidR="00D02973">
              <w:rPr>
                <w:noProof/>
                <w:webHidden/>
              </w:rPr>
              <w:fldChar w:fldCharType="end"/>
            </w:r>
          </w:hyperlink>
        </w:p>
        <w:p w:rsidR="00D02973" w:rsidRDefault="000702B7" w:rsidP="00D02973">
          <w:pPr>
            <w:pStyle w:val="TOC3"/>
            <w:tabs>
              <w:tab w:val="left" w:pos="1200"/>
              <w:tab w:val="right" w:leader="dot" w:pos="9017"/>
            </w:tabs>
            <w:rPr>
              <w:rFonts w:eastAsiaTheme="minorEastAsia"/>
              <w:noProof/>
              <w:lang w:eastAsia="en-AU"/>
            </w:rPr>
          </w:pPr>
          <w:hyperlink w:anchor="_Toc448475172" w:history="1">
            <w:r w:rsidR="00D02973" w:rsidRPr="004B76D5">
              <w:rPr>
                <w:rStyle w:val="Hyperlink"/>
                <w:noProof/>
              </w:rPr>
              <w:t xml:space="preserve">2.3.2 </w:t>
            </w:r>
            <w:r w:rsidR="00D02973">
              <w:rPr>
                <w:rFonts w:eastAsiaTheme="minorEastAsia"/>
                <w:noProof/>
                <w:lang w:eastAsia="en-AU"/>
              </w:rPr>
              <w:tab/>
            </w:r>
            <w:r w:rsidR="00D02973" w:rsidRPr="004B76D5">
              <w:rPr>
                <w:rStyle w:val="Hyperlink"/>
                <w:noProof/>
              </w:rPr>
              <w:t>Playground Standard AS 4685:2014</w:t>
            </w:r>
            <w:r w:rsidR="00D02973">
              <w:rPr>
                <w:noProof/>
                <w:webHidden/>
              </w:rPr>
              <w:tab/>
            </w:r>
            <w:r w:rsidR="00D02973">
              <w:rPr>
                <w:noProof/>
                <w:webHidden/>
              </w:rPr>
              <w:fldChar w:fldCharType="begin"/>
            </w:r>
            <w:r w:rsidR="00D02973">
              <w:rPr>
                <w:noProof/>
                <w:webHidden/>
              </w:rPr>
              <w:instrText xml:space="preserve"> PAGEREF _Toc448475172 \h </w:instrText>
            </w:r>
            <w:r w:rsidR="00D02973">
              <w:rPr>
                <w:noProof/>
                <w:webHidden/>
              </w:rPr>
            </w:r>
            <w:r w:rsidR="00D02973">
              <w:rPr>
                <w:noProof/>
                <w:webHidden/>
              </w:rPr>
              <w:fldChar w:fldCharType="separate"/>
            </w:r>
            <w:r w:rsidR="009A42EB">
              <w:rPr>
                <w:noProof/>
                <w:webHidden/>
              </w:rPr>
              <w:t>17</w:t>
            </w:r>
            <w:r w:rsidR="00D02973">
              <w:rPr>
                <w:noProof/>
                <w:webHidden/>
              </w:rPr>
              <w:fldChar w:fldCharType="end"/>
            </w:r>
          </w:hyperlink>
        </w:p>
        <w:p w:rsidR="00D02973" w:rsidRDefault="000702B7" w:rsidP="00D02973">
          <w:pPr>
            <w:pStyle w:val="TOC3"/>
            <w:tabs>
              <w:tab w:val="left" w:pos="1200"/>
              <w:tab w:val="right" w:leader="dot" w:pos="9017"/>
            </w:tabs>
            <w:rPr>
              <w:rFonts w:eastAsiaTheme="minorEastAsia"/>
              <w:noProof/>
              <w:lang w:eastAsia="en-AU"/>
            </w:rPr>
          </w:pPr>
          <w:hyperlink w:anchor="_Toc448475173" w:history="1">
            <w:r w:rsidR="00D02973" w:rsidRPr="004B76D5">
              <w:rPr>
                <w:rStyle w:val="Hyperlink"/>
                <w:noProof/>
              </w:rPr>
              <w:t xml:space="preserve">2.3.3 </w:t>
            </w:r>
            <w:r w:rsidR="00D02973">
              <w:rPr>
                <w:rFonts w:eastAsiaTheme="minorEastAsia"/>
                <w:noProof/>
                <w:lang w:eastAsia="en-AU"/>
              </w:rPr>
              <w:tab/>
            </w:r>
            <w:r w:rsidR="00D02973" w:rsidRPr="004B76D5">
              <w:rPr>
                <w:rStyle w:val="Hyperlink"/>
                <w:noProof/>
              </w:rPr>
              <w:t>Council Footpath Treatments Within The Road Reserve Policy</w:t>
            </w:r>
            <w:r w:rsidR="00D02973">
              <w:rPr>
                <w:noProof/>
                <w:webHidden/>
              </w:rPr>
              <w:tab/>
            </w:r>
            <w:r w:rsidR="00D02973">
              <w:rPr>
                <w:noProof/>
                <w:webHidden/>
              </w:rPr>
              <w:fldChar w:fldCharType="begin"/>
            </w:r>
            <w:r w:rsidR="00D02973">
              <w:rPr>
                <w:noProof/>
                <w:webHidden/>
              </w:rPr>
              <w:instrText xml:space="preserve"> PAGEREF _Toc448475173 \h </w:instrText>
            </w:r>
            <w:r w:rsidR="00D02973">
              <w:rPr>
                <w:noProof/>
                <w:webHidden/>
              </w:rPr>
            </w:r>
            <w:r w:rsidR="00D02973">
              <w:rPr>
                <w:noProof/>
                <w:webHidden/>
              </w:rPr>
              <w:fldChar w:fldCharType="separate"/>
            </w:r>
            <w:r w:rsidR="009A42EB">
              <w:rPr>
                <w:noProof/>
                <w:webHidden/>
              </w:rPr>
              <w:t>17</w:t>
            </w:r>
            <w:r w:rsidR="00D02973">
              <w:rPr>
                <w:noProof/>
                <w:webHidden/>
              </w:rPr>
              <w:fldChar w:fldCharType="end"/>
            </w:r>
          </w:hyperlink>
        </w:p>
        <w:p w:rsidR="00D02973" w:rsidRDefault="000702B7" w:rsidP="00D02973">
          <w:pPr>
            <w:pStyle w:val="TOC3"/>
            <w:tabs>
              <w:tab w:val="left" w:pos="1200"/>
              <w:tab w:val="right" w:leader="dot" w:pos="9017"/>
            </w:tabs>
            <w:rPr>
              <w:rFonts w:eastAsiaTheme="minorEastAsia"/>
              <w:noProof/>
              <w:lang w:eastAsia="en-AU"/>
            </w:rPr>
          </w:pPr>
          <w:hyperlink w:anchor="_Toc448475174" w:history="1">
            <w:r w:rsidR="00D02973" w:rsidRPr="004B76D5">
              <w:rPr>
                <w:rStyle w:val="Hyperlink"/>
                <w:noProof/>
              </w:rPr>
              <w:t xml:space="preserve">2.3.4 </w:t>
            </w:r>
            <w:r w:rsidR="00D02973">
              <w:rPr>
                <w:rFonts w:eastAsiaTheme="minorEastAsia"/>
                <w:noProof/>
                <w:lang w:eastAsia="en-AU"/>
              </w:rPr>
              <w:tab/>
            </w:r>
            <w:r w:rsidR="00D02973" w:rsidRPr="004B76D5">
              <w:rPr>
                <w:rStyle w:val="Hyperlink"/>
                <w:noProof/>
              </w:rPr>
              <w:t>Place Design Manual</w:t>
            </w:r>
            <w:r w:rsidR="00D02973">
              <w:rPr>
                <w:noProof/>
                <w:webHidden/>
              </w:rPr>
              <w:tab/>
            </w:r>
            <w:r w:rsidR="00D02973">
              <w:rPr>
                <w:noProof/>
                <w:webHidden/>
              </w:rPr>
              <w:fldChar w:fldCharType="begin"/>
            </w:r>
            <w:r w:rsidR="00D02973">
              <w:rPr>
                <w:noProof/>
                <w:webHidden/>
              </w:rPr>
              <w:instrText xml:space="preserve"> PAGEREF _Toc448475174 \h </w:instrText>
            </w:r>
            <w:r w:rsidR="00D02973">
              <w:rPr>
                <w:noProof/>
                <w:webHidden/>
              </w:rPr>
            </w:r>
            <w:r w:rsidR="00D02973">
              <w:rPr>
                <w:noProof/>
                <w:webHidden/>
              </w:rPr>
              <w:fldChar w:fldCharType="separate"/>
            </w:r>
            <w:r w:rsidR="009A42EB">
              <w:rPr>
                <w:noProof/>
                <w:webHidden/>
              </w:rPr>
              <w:t>17</w:t>
            </w:r>
            <w:r w:rsidR="00D02973">
              <w:rPr>
                <w:noProof/>
                <w:webHidden/>
              </w:rPr>
              <w:fldChar w:fldCharType="end"/>
            </w:r>
          </w:hyperlink>
        </w:p>
        <w:p w:rsidR="00D02973" w:rsidRDefault="000702B7" w:rsidP="00D02973">
          <w:pPr>
            <w:pStyle w:val="TOC3"/>
            <w:tabs>
              <w:tab w:val="left" w:pos="1200"/>
              <w:tab w:val="right" w:leader="dot" w:pos="9017"/>
            </w:tabs>
            <w:rPr>
              <w:rFonts w:eastAsiaTheme="minorEastAsia"/>
              <w:noProof/>
              <w:lang w:eastAsia="en-AU"/>
            </w:rPr>
          </w:pPr>
          <w:hyperlink w:anchor="_Toc448475175" w:history="1">
            <w:r w:rsidR="00D02973" w:rsidRPr="004B76D5">
              <w:rPr>
                <w:rStyle w:val="Hyperlink"/>
                <w:noProof/>
              </w:rPr>
              <w:t>2.3.5</w:t>
            </w:r>
            <w:r w:rsidR="00D02973">
              <w:rPr>
                <w:rFonts w:eastAsiaTheme="minorEastAsia"/>
                <w:noProof/>
                <w:lang w:eastAsia="en-AU"/>
              </w:rPr>
              <w:tab/>
            </w:r>
            <w:r w:rsidR="00D02973" w:rsidRPr="004B76D5">
              <w:rPr>
                <w:rStyle w:val="Hyperlink"/>
                <w:noProof/>
              </w:rPr>
              <w:t>Electricity Safety (Electric Line Clearance) Regulations 2015</w:t>
            </w:r>
            <w:r w:rsidR="00D02973">
              <w:rPr>
                <w:noProof/>
                <w:webHidden/>
              </w:rPr>
              <w:tab/>
            </w:r>
            <w:r w:rsidR="00D02973">
              <w:rPr>
                <w:noProof/>
                <w:webHidden/>
              </w:rPr>
              <w:fldChar w:fldCharType="begin"/>
            </w:r>
            <w:r w:rsidR="00D02973">
              <w:rPr>
                <w:noProof/>
                <w:webHidden/>
              </w:rPr>
              <w:instrText xml:space="preserve"> PAGEREF _Toc448475175 \h </w:instrText>
            </w:r>
            <w:r w:rsidR="00D02973">
              <w:rPr>
                <w:noProof/>
                <w:webHidden/>
              </w:rPr>
            </w:r>
            <w:r w:rsidR="00D02973">
              <w:rPr>
                <w:noProof/>
                <w:webHidden/>
              </w:rPr>
              <w:fldChar w:fldCharType="separate"/>
            </w:r>
            <w:r w:rsidR="009A42EB">
              <w:rPr>
                <w:noProof/>
                <w:webHidden/>
              </w:rPr>
              <w:t>17</w:t>
            </w:r>
            <w:r w:rsidR="00D02973">
              <w:rPr>
                <w:noProof/>
                <w:webHidden/>
              </w:rPr>
              <w:fldChar w:fldCharType="end"/>
            </w:r>
          </w:hyperlink>
        </w:p>
        <w:p w:rsidR="00D02973" w:rsidRDefault="000702B7" w:rsidP="00D02973">
          <w:pPr>
            <w:pStyle w:val="TOC2"/>
            <w:tabs>
              <w:tab w:val="left" w:pos="960"/>
              <w:tab w:val="right" w:leader="dot" w:pos="9017"/>
            </w:tabs>
            <w:rPr>
              <w:rFonts w:eastAsiaTheme="minorEastAsia"/>
              <w:noProof/>
              <w:lang w:eastAsia="en-AU"/>
            </w:rPr>
          </w:pPr>
          <w:hyperlink w:anchor="_Toc448475176" w:history="1">
            <w:r w:rsidR="00D02973" w:rsidRPr="004B76D5">
              <w:rPr>
                <w:rStyle w:val="Hyperlink"/>
                <w:noProof/>
              </w:rPr>
              <w:t xml:space="preserve">2.4 </w:t>
            </w:r>
            <w:r w:rsidR="00D02973">
              <w:rPr>
                <w:rFonts w:eastAsiaTheme="minorEastAsia"/>
                <w:noProof/>
                <w:lang w:eastAsia="en-AU"/>
              </w:rPr>
              <w:tab/>
            </w:r>
            <w:r w:rsidR="00D02973" w:rsidRPr="004B76D5">
              <w:rPr>
                <w:rStyle w:val="Hyperlink"/>
                <w:noProof/>
              </w:rPr>
              <w:t>Levels of Service</w:t>
            </w:r>
            <w:r w:rsidR="00D02973">
              <w:rPr>
                <w:noProof/>
                <w:webHidden/>
              </w:rPr>
              <w:tab/>
            </w:r>
            <w:r w:rsidR="00D02973">
              <w:rPr>
                <w:noProof/>
                <w:webHidden/>
              </w:rPr>
              <w:fldChar w:fldCharType="begin"/>
            </w:r>
            <w:r w:rsidR="00D02973">
              <w:rPr>
                <w:noProof/>
                <w:webHidden/>
              </w:rPr>
              <w:instrText xml:space="preserve"> PAGEREF _Toc448475176 \h </w:instrText>
            </w:r>
            <w:r w:rsidR="00D02973">
              <w:rPr>
                <w:noProof/>
                <w:webHidden/>
              </w:rPr>
            </w:r>
            <w:r w:rsidR="00D02973">
              <w:rPr>
                <w:noProof/>
                <w:webHidden/>
              </w:rPr>
              <w:fldChar w:fldCharType="separate"/>
            </w:r>
            <w:r w:rsidR="009A42EB">
              <w:rPr>
                <w:noProof/>
                <w:webHidden/>
              </w:rPr>
              <w:t>18</w:t>
            </w:r>
            <w:r w:rsidR="00D02973">
              <w:rPr>
                <w:noProof/>
                <w:webHidden/>
              </w:rPr>
              <w:fldChar w:fldCharType="end"/>
            </w:r>
          </w:hyperlink>
        </w:p>
        <w:p w:rsidR="00D02973" w:rsidRDefault="000702B7" w:rsidP="00D02973">
          <w:pPr>
            <w:pStyle w:val="TOC3"/>
            <w:tabs>
              <w:tab w:val="left" w:pos="1200"/>
              <w:tab w:val="right" w:leader="dot" w:pos="9017"/>
            </w:tabs>
            <w:rPr>
              <w:rFonts w:eastAsiaTheme="minorEastAsia"/>
              <w:noProof/>
              <w:lang w:eastAsia="en-AU"/>
            </w:rPr>
          </w:pPr>
          <w:hyperlink w:anchor="_Toc448475177" w:history="1">
            <w:r w:rsidR="00D02973" w:rsidRPr="004B76D5">
              <w:rPr>
                <w:rStyle w:val="Hyperlink"/>
                <w:noProof/>
              </w:rPr>
              <w:t xml:space="preserve">2.4.1 </w:t>
            </w:r>
            <w:r w:rsidR="00D02973">
              <w:rPr>
                <w:rFonts w:eastAsiaTheme="minorEastAsia"/>
                <w:noProof/>
                <w:lang w:eastAsia="en-AU"/>
              </w:rPr>
              <w:tab/>
            </w:r>
            <w:r w:rsidR="00D02973" w:rsidRPr="004B76D5">
              <w:rPr>
                <w:rStyle w:val="Hyperlink"/>
                <w:noProof/>
              </w:rPr>
              <w:t>Community Levels of Service</w:t>
            </w:r>
            <w:r w:rsidR="00D02973">
              <w:rPr>
                <w:noProof/>
                <w:webHidden/>
              </w:rPr>
              <w:tab/>
            </w:r>
            <w:r w:rsidR="00D02973">
              <w:rPr>
                <w:noProof/>
                <w:webHidden/>
              </w:rPr>
              <w:fldChar w:fldCharType="begin"/>
            </w:r>
            <w:r w:rsidR="00D02973">
              <w:rPr>
                <w:noProof/>
                <w:webHidden/>
              </w:rPr>
              <w:instrText xml:space="preserve"> PAGEREF _Toc448475177 \h </w:instrText>
            </w:r>
            <w:r w:rsidR="00D02973">
              <w:rPr>
                <w:noProof/>
                <w:webHidden/>
              </w:rPr>
            </w:r>
            <w:r w:rsidR="00D02973">
              <w:rPr>
                <w:noProof/>
                <w:webHidden/>
              </w:rPr>
              <w:fldChar w:fldCharType="separate"/>
            </w:r>
            <w:r w:rsidR="009A42EB">
              <w:rPr>
                <w:noProof/>
                <w:webHidden/>
              </w:rPr>
              <w:t>18</w:t>
            </w:r>
            <w:r w:rsidR="00D02973">
              <w:rPr>
                <w:noProof/>
                <w:webHidden/>
              </w:rPr>
              <w:fldChar w:fldCharType="end"/>
            </w:r>
          </w:hyperlink>
        </w:p>
        <w:p w:rsidR="00D02973" w:rsidRDefault="000702B7" w:rsidP="00D02973">
          <w:pPr>
            <w:pStyle w:val="TOC3"/>
            <w:tabs>
              <w:tab w:val="left" w:pos="1200"/>
              <w:tab w:val="right" w:leader="dot" w:pos="9017"/>
            </w:tabs>
            <w:rPr>
              <w:rFonts w:eastAsiaTheme="minorEastAsia"/>
              <w:noProof/>
              <w:lang w:eastAsia="en-AU"/>
            </w:rPr>
          </w:pPr>
          <w:hyperlink w:anchor="_Toc448475178" w:history="1">
            <w:r w:rsidR="00D02973" w:rsidRPr="004B76D5">
              <w:rPr>
                <w:rStyle w:val="Hyperlink"/>
                <w:noProof/>
              </w:rPr>
              <w:t xml:space="preserve">2.4.2 </w:t>
            </w:r>
            <w:r w:rsidR="00D02973">
              <w:rPr>
                <w:rFonts w:eastAsiaTheme="minorEastAsia"/>
                <w:noProof/>
                <w:lang w:eastAsia="en-AU"/>
              </w:rPr>
              <w:tab/>
            </w:r>
            <w:r w:rsidR="00D02973" w:rsidRPr="004B76D5">
              <w:rPr>
                <w:rStyle w:val="Hyperlink"/>
                <w:noProof/>
              </w:rPr>
              <w:t>Technical LOS</w:t>
            </w:r>
            <w:r w:rsidR="00D02973">
              <w:rPr>
                <w:noProof/>
                <w:webHidden/>
              </w:rPr>
              <w:tab/>
            </w:r>
            <w:r w:rsidR="00D02973">
              <w:rPr>
                <w:noProof/>
                <w:webHidden/>
              </w:rPr>
              <w:fldChar w:fldCharType="begin"/>
            </w:r>
            <w:r w:rsidR="00D02973">
              <w:rPr>
                <w:noProof/>
                <w:webHidden/>
              </w:rPr>
              <w:instrText xml:space="preserve"> PAGEREF _Toc448475178 \h </w:instrText>
            </w:r>
            <w:r w:rsidR="00D02973">
              <w:rPr>
                <w:noProof/>
                <w:webHidden/>
              </w:rPr>
            </w:r>
            <w:r w:rsidR="00D02973">
              <w:rPr>
                <w:noProof/>
                <w:webHidden/>
              </w:rPr>
              <w:fldChar w:fldCharType="separate"/>
            </w:r>
            <w:r w:rsidR="009A42EB">
              <w:rPr>
                <w:noProof/>
                <w:webHidden/>
              </w:rPr>
              <w:t>20</w:t>
            </w:r>
            <w:r w:rsidR="00D02973">
              <w:rPr>
                <w:noProof/>
                <w:webHidden/>
              </w:rPr>
              <w:fldChar w:fldCharType="end"/>
            </w:r>
          </w:hyperlink>
        </w:p>
        <w:p w:rsidR="00D02973" w:rsidRDefault="000702B7" w:rsidP="00D02973">
          <w:pPr>
            <w:pStyle w:val="TOC3"/>
            <w:tabs>
              <w:tab w:val="left" w:pos="1200"/>
              <w:tab w:val="right" w:leader="dot" w:pos="9017"/>
            </w:tabs>
            <w:rPr>
              <w:rFonts w:eastAsiaTheme="minorEastAsia"/>
              <w:noProof/>
              <w:lang w:eastAsia="en-AU"/>
            </w:rPr>
          </w:pPr>
          <w:hyperlink w:anchor="_Toc448475179" w:history="1">
            <w:r w:rsidR="00D02973" w:rsidRPr="004B76D5">
              <w:rPr>
                <w:rStyle w:val="Hyperlink"/>
                <w:noProof/>
              </w:rPr>
              <w:t xml:space="preserve">2.4.3 </w:t>
            </w:r>
            <w:r w:rsidR="00D02973">
              <w:rPr>
                <w:rFonts w:eastAsiaTheme="minorEastAsia"/>
                <w:noProof/>
                <w:lang w:eastAsia="en-AU"/>
              </w:rPr>
              <w:tab/>
            </w:r>
            <w:r w:rsidR="00D02973" w:rsidRPr="004B76D5">
              <w:rPr>
                <w:rStyle w:val="Hyperlink"/>
                <w:noProof/>
              </w:rPr>
              <w:t>Maintenance Service Levels</w:t>
            </w:r>
            <w:r w:rsidR="00D02973">
              <w:rPr>
                <w:noProof/>
                <w:webHidden/>
              </w:rPr>
              <w:tab/>
            </w:r>
            <w:r w:rsidR="00D02973">
              <w:rPr>
                <w:noProof/>
                <w:webHidden/>
              </w:rPr>
              <w:fldChar w:fldCharType="begin"/>
            </w:r>
            <w:r w:rsidR="00D02973">
              <w:rPr>
                <w:noProof/>
                <w:webHidden/>
              </w:rPr>
              <w:instrText xml:space="preserve"> PAGEREF _Toc448475179 \h </w:instrText>
            </w:r>
            <w:r w:rsidR="00D02973">
              <w:rPr>
                <w:noProof/>
                <w:webHidden/>
              </w:rPr>
            </w:r>
            <w:r w:rsidR="00D02973">
              <w:rPr>
                <w:noProof/>
                <w:webHidden/>
              </w:rPr>
              <w:fldChar w:fldCharType="separate"/>
            </w:r>
            <w:r w:rsidR="009A42EB">
              <w:rPr>
                <w:noProof/>
                <w:webHidden/>
              </w:rPr>
              <w:t>21</w:t>
            </w:r>
            <w:r w:rsidR="00D02973">
              <w:rPr>
                <w:noProof/>
                <w:webHidden/>
              </w:rPr>
              <w:fldChar w:fldCharType="end"/>
            </w:r>
          </w:hyperlink>
        </w:p>
        <w:p w:rsidR="00D02973" w:rsidRDefault="000702B7" w:rsidP="00D02973">
          <w:pPr>
            <w:pStyle w:val="TOC2"/>
            <w:tabs>
              <w:tab w:val="left" w:pos="960"/>
              <w:tab w:val="right" w:leader="dot" w:pos="9017"/>
            </w:tabs>
            <w:rPr>
              <w:rFonts w:eastAsiaTheme="minorEastAsia"/>
              <w:noProof/>
              <w:lang w:eastAsia="en-AU"/>
            </w:rPr>
          </w:pPr>
          <w:hyperlink w:anchor="_Toc448475180" w:history="1">
            <w:r w:rsidR="00D02973" w:rsidRPr="004B76D5">
              <w:rPr>
                <w:rStyle w:val="Hyperlink"/>
                <w:noProof/>
              </w:rPr>
              <w:t xml:space="preserve">2.5 </w:t>
            </w:r>
            <w:r w:rsidR="00D02973">
              <w:rPr>
                <w:rFonts w:eastAsiaTheme="minorEastAsia"/>
                <w:noProof/>
                <w:lang w:eastAsia="en-AU"/>
              </w:rPr>
              <w:tab/>
            </w:r>
            <w:r w:rsidR="00D02973" w:rsidRPr="004B76D5">
              <w:rPr>
                <w:rStyle w:val="Hyperlink"/>
                <w:noProof/>
              </w:rPr>
              <w:t>Service Level Review</w:t>
            </w:r>
            <w:r w:rsidR="00D02973">
              <w:rPr>
                <w:noProof/>
                <w:webHidden/>
              </w:rPr>
              <w:tab/>
            </w:r>
            <w:r w:rsidR="00D02973">
              <w:rPr>
                <w:noProof/>
                <w:webHidden/>
              </w:rPr>
              <w:fldChar w:fldCharType="begin"/>
            </w:r>
            <w:r w:rsidR="00D02973">
              <w:rPr>
                <w:noProof/>
                <w:webHidden/>
              </w:rPr>
              <w:instrText xml:space="preserve"> PAGEREF _Toc448475180 \h </w:instrText>
            </w:r>
            <w:r w:rsidR="00D02973">
              <w:rPr>
                <w:noProof/>
                <w:webHidden/>
              </w:rPr>
            </w:r>
            <w:r w:rsidR="00D02973">
              <w:rPr>
                <w:noProof/>
                <w:webHidden/>
              </w:rPr>
              <w:fldChar w:fldCharType="separate"/>
            </w:r>
            <w:r w:rsidR="009A42EB">
              <w:rPr>
                <w:noProof/>
                <w:webHidden/>
              </w:rPr>
              <w:t>22</w:t>
            </w:r>
            <w:r w:rsidR="00D02973">
              <w:rPr>
                <w:noProof/>
                <w:webHidden/>
              </w:rPr>
              <w:fldChar w:fldCharType="end"/>
            </w:r>
          </w:hyperlink>
        </w:p>
        <w:p w:rsidR="00D02973" w:rsidRDefault="000702B7" w:rsidP="00D02973">
          <w:pPr>
            <w:pStyle w:val="TOC1"/>
            <w:tabs>
              <w:tab w:val="left" w:pos="720"/>
              <w:tab w:val="right" w:leader="dot" w:pos="9017"/>
            </w:tabs>
            <w:rPr>
              <w:rFonts w:eastAsiaTheme="minorEastAsia"/>
              <w:noProof/>
              <w:lang w:eastAsia="en-AU"/>
            </w:rPr>
          </w:pPr>
          <w:hyperlink w:anchor="_Toc448475181" w:history="1">
            <w:r w:rsidR="00D02973" w:rsidRPr="004B76D5">
              <w:rPr>
                <w:rStyle w:val="Hyperlink"/>
                <w:noProof/>
              </w:rPr>
              <w:t xml:space="preserve">3.0 </w:t>
            </w:r>
            <w:r w:rsidR="00D02973">
              <w:rPr>
                <w:rFonts w:eastAsiaTheme="minorEastAsia"/>
                <w:noProof/>
                <w:lang w:eastAsia="en-AU"/>
              </w:rPr>
              <w:tab/>
            </w:r>
            <w:r w:rsidR="00D02973" w:rsidRPr="004B76D5">
              <w:rPr>
                <w:rStyle w:val="Hyperlink"/>
                <w:noProof/>
              </w:rPr>
              <w:t>Future Demand</w:t>
            </w:r>
            <w:r w:rsidR="00D02973">
              <w:rPr>
                <w:noProof/>
                <w:webHidden/>
              </w:rPr>
              <w:tab/>
            </w:r>
            <w:r w:rsidR="00D02973">
              <w:rPr>
                <w:noProof/>
                <w:webHidden/>
              </w:rPr>
              <w:fldChar w:fldCharType="begin"/>
            </w:r>
            <w:r w:rsidR="00D02973">
              <w:rPr>
                <w:noProof/>
                <w:webHidden/>
              </w:rPr>
              <w:instrText xml:space="preserve"> PAGEREF _Toc448475181 \h </w:instrText>
            </w:r>
            <w:r w:rsidR="00D02973">
              <w:rPr>
                <w:noProof/>
                <w:webHidden/>
              </w:rPr>
            </w:r>
            <w:r w:rsidR="00D02973">
              <w:rPr>
                <w:noProof/>
                <w:webHidden/>
              </w:rPr>
              <w:fldChar w:fldCharType="separate"/>
            </w:r>
            <w:r w:rsidR="009A42EB">
              <w:rPr>
                <w:noProof/>
                <w:webHidden/>
              </w:rPr>
              <w:t>23</w:t>
            </w:r>
            <w:r w:rsidR="00D02973">
              <w:rPr>
                <w:noProof/>
                <w:webHidden/>
              </w:rPr>
              <w:fldChar w:fldCharType="end"/>
            </w:r>
          </w:hyperlink>
        </w:p>
        <w:p w:rsidR="00D02973" w:rsidRDefault="000702B7" w:rsidP="00D02973">
          <w:pPr>
            <w:pStyle w:val="TOC2"/>
            <w:tabs>
              <w:tab w:val="left" w:pos="960"/>
              <w:tab w:val="right" w:leader="dot" w:pos="9017"/>
            </w:tabs>
            <w:rPr>
              <w:rFonts w:eastAsiaTheme="minorEastAsia"/>
              <w:noProof/>
              <w:lang w:eastAsia="en-AU"/>
            </w:rPr>
          </w:pPr>
          <w:hyperlink w:anchor="_Toc448475182" w:history="1">
            <w:r w:rsidR="00D02973" w:rsidRPr="004B76D5">
              <w:rPr>
                <w:rStyle w:val="Hyperlink"/>
                <w:noProof/>
              </w:rPr>
              <w:t xml:space="preserve">3.1 </w:t>
            </w:r>
            <w:r w:rsidR="00D02973">
              <w:rPr>
                <w:rFonts w:eastAsiaTheme="minorEastAsia"/>
                <w:noProof/>
                <w:lang w:eastAsia="en-AU"/>
              </w:rPr>
              <w:tab/>
            </w:r>
            <w:r w:rsidR="00D02973" w:rsidRPr="004B76D5">
              <w:rPr>
                <w:rStyle w:val="Hyperlink"/>
                <w:noProof/>
              </w:rPr>
              <w:t>Population &amp; Demographic Trends</w:t>
            </w:r>
            <w:r w:rsidR="00D02973">
              <w:rPr>
                <w:noProof/>
                <w:webHidden/>
              </w:rPr>
              <w:tab/>
            </w:r>
            <w:r w:rsidR="00D02973">
              <w:rPr>
                <w:noProof/>
                <w:webHidden/>
              </w:rPr>
              <w:fldChar w:fldCharType="begin"/>
            </w:r>
            <w:r w:rsidR="00D02973">
              <w:rPr>
                <w:noProof/>
                <w:webHidden/>
              </w:rPr>
              <w:instrText xml:space="preserve"> PAGEREF _Toc448475182 \h </w:instrText>
            </w:r>
            <w:r w:rsidR="00D02973">
              <w:rPr>
                <w:noProof/>
                <w:webHidden/>
              </w:rPr>
            </w:r>
            <w:r w:rsidR="00D02973">
              <w:rPr>
                <w:noProof/>
                <w:webHidden/>
              </w:rPr>
              <w:fldChar w:fldCharType="separate"/>
            </w:r>
            <w:r w:rsidR="009A42EB">
              <w:rPr>
                <w:noProof/>
                <w:webHidden/>
              </w:rPr>
              <w:t>23</w:t>
            </w:r>
            <w:r w:rsidR="00D02973">
              <w:rPr>
                <w:noProof/>
                <w:webHidden/>
              </w:rPr>
              <w:fldChar w:fldCharType="end"/>
            </w:r>
          </w:hyperlink>
        </w:p>
        <w:p w:rsidR="00D02973" w:rsidRDefault="000702B7" w:rsidP="00D02973">
          <w:pPr>
            <w:pStyle w:val="TOC2"/>
            <w:tabs>
              <w:tab w:val="left" w:pos="720"/>
              <w:tab w:val="right" w:leader="dot" w:pos="9017"/>
            </w:tabs>
            <w:rPr>
              <w:rFonts w:eastAsiaTheme="minorEastAsia"/>
              <w:noProof/>
              <w:lang w:eastAsia="en-AU"/>
            </w:rPr>
          </w:pPr>
          <w:hyperlink w:anchor="_Toc448475183" w:history="1">
            <w:r w:rsidR="00D02973" w:rsidRPr="004B76D5">
              <w:rPr>
                <w:rStyle w:val="Hyperlink"/>
                <w:noProof/>
              </w:rPr>
              <w:t>3.2</w:t>
            </w:r>
            <w:r w:rsidR="00D02973">
              <w:rPr>
                <w:rFonts w:eastAsiaTheme="minorEastAsia"/>
                <w:noProof/>
                <w:lang w:eastAsia="en-AU"/>
              </w:rPr>
              <w:tab/>
            </w:r>
            <w:r w:rsidR="00D02973" w:rsidRPr="004B76D5">
              <w:rPr>
                <w:rStyle w:val="Hyperlink"/>
                <w:noProof/>
              </w:rPr>
              <w:t xml:space="preserve"> Identifying Future Demand Factors</w:t>
            </w:r>
            <w:r w:rsidR="00D02973">
              <w:rPr>
                <w:noProof/>
                <w:webHidden/>
              </w:rPr>
              <w:tab/>
            </w:r>
            <w:r w:rsidR="00D02973">
              <w:rPr>
                <w:noProof/>
                <w:webHidden/>
              </w:rPr>
              <w:fldChar w:fldCharType="begin"/>
            </w:r>
            <w:r w:rsidR="00D02973">
              <w:rPr>
                <w:noProof/>
                <w:webHidden/>
              </w:rPr>
              <w:instrText xml:space="preserve"> PAGEREF _Toc448475183 \h </w:instrText>
            </w:r>
            <w:r w:rsidR="00D02973">
              <w:rPr>
                <w:noProof/>
                <w:webHidden/>
              </w:rPr>
            </w:r>
            <w:r w:rsidR="00D02973">
              <w:rPr>
                <w:noProof/>
                <w:webHidden/>
              </w:rPr>
              <w:fldChar w:fldCharType="separate"/>
            </w:r>
            <w:r w:rsidR="009A42EB">
              <w:rPr>
                <w:noProof/>
                <w:webHidden/>
              </w:rPr>
              <w:t>25</w:t>
            </w:r>
            <w:r w:rsidR="00D02973">
              <w:rPr>
                <w:noProof/>
                <w:webHidden/>
              </w:rPr>
              <w:fldChar w:fldCharType="end"/>
            </w:r>
          </w:hyperlink>
        </w:p>
        <w:p w:rsidR="00D02973" w:rsidRDefault="000702B7" w:rsidP="00D02973">
          <w:pPr>
            <w:pStyle w:val="TOC3"/>
            <w:tabs>
              <w:tab w:val="left" w:pos="1200"/>
              <w:tab w:val="right" w:leader="dot" w:pos="9017"/>
            </w:tabs>
            <w:rPr>
              <w:rFonts w:eastAsiaTheme="minorEastAsia"/>
              <w:noProof/>
              <w:lang w:eastAsia="en-AU"/>
            </w:rPr>
          </w:pPr>
          <w:hyperlink w:anchor="_Toc448475184" w:history="1">
            <w:r w:rsidR="00D02973" w:rsidRPr="004B76D5">
              <w:rPr>
                <w:rStyle w:val="Hyperlink"/>
                <w:noProof/>
              </w:rPr>
              <w:t>3.2.1</w:t>
            </w:r>
            <w:r w:rsidR="00D02973">
              <w:rPr>
                <w:rFonts w:eastAsiaTheme="minorEastAsia"/>
                <w:noProof/>
                <w:lang w:eastAsia="en-AU"/>
              </w:rPr>
              <w:tab/>
            </w:r>
            <w:r w:rsidR="00D02973" w:rsidRPr="004B76D5">
              <w:rPr>
                <w:rStyle w:val="Hyperlink"/>
                <w:noProof/>
              </w:rPr>
              <w:t xml:space="preserve"> Legislative Change</w:t>
            </w:r>
            <w:r w:rsidR="00D02973">
              <w:rPr>
                <w:noProof/>
                <w:webHidden/>
              </w:rPr>
              <w:tab/>
            </w:r>
            <w:r w:rsidR="00D02973">
              <w:rPr>
                <w:noProof/>
                <w:webHidden/>
              </w:rPr>
              <w:fldChar w:fldCharType="begin"/>
            </w:r>
            <w:r w:rsidR="00D02973">
              <w:rPr>
                <w:noProof/>
                <w:webHidden/>
              </w:rPr>
              <w:instrText xml:space="preserve"> PAGEREF _Toc448475184 \h </w:instrText>
            </w:r>
            <w:r w:rsidR="00D02973">
              <w:rPr>
                <w:noProof/>
                <w:webHidden/>
              </w:rPr>
            </w:r>
            <w:r w:rsidR="00D02973">
              <w:rPr>
                <w:noProof/>
                <w:webHidden/>
              </w:rPr>
              <w:fldChar w:fldCharType="separate"/>
            </w:r>
            <w:r w:rsidR="009A42EB">
              <w:rPr>
                <w:noProof/>
                <w:webHidden/>
              </w:rPr>
              <w:t>25</w:t>
            </w:r>
            <w:r w:rsidR="00D02973">
              <w:rPr>
                <w:noProof/>
                <w:webHidden/>
              </w:rPr>
              <w:fldChar w:fldCharType="end"/>
            </w:r>
          </w:hyperlink>
        </w:p>
        <w:p w:rsidR="00D02973" w:rsidRDefault="000702B7" w:rsidP="00D02973">
          <w:pPr>
            <w:pStyle w:val="TOC3"/>
            <w:tabs>
              <w:tab w:val="left" w:pos="1200"/>
              <w:tab w:val="right" w:leader="dot" w:pos="9017"/>
            </w:tabs>
            <w:rPr>
              <w:rFonts w:eastAsiaTheme="minorEastAsia"/>
              <w:noProof/>
              <w:lang w:eastAsia="en-AU"/>
            </w:rPr>
          </w:pPr>
          <w:hyperlink w:anchor="_Toc448475185" w:history="1">
            <w:r w:rsidR="00D02973" w:rsidRPr="004B76D5">
              <w:rPr>
                <w:rStyle w:val="Hyperlink"/>
                <w:noProof/>
              </w:rPr>
              <w:t xml:space="preserve">3.2.2 </w:t>
            </w:r>
            <w:r w:rsidR="00D02973">
              <w:rPr>
                <w:rFonts w:eastAsiaTheme="minorEastAsia"/>
                <w:noProof/>
                <w:lang w:eastAsia="en-AU"/>
              </w:rPr>
              <w:tab/>
            </w:r>
            <w:r w:rsidR="00D02973" w:rsidRPr="004B76D5">
              <w:rPr>
                <w:rStyle w:val="Hyperlink"/>
                <w:noProof/>
              </w:rPr>
              <w:t>Technological Change</w:t>
            </w:r>
            <w:r w:rsidR="00D02973">
              <w:rPr>
                <w:noProof/>
                <w:webHidden/>
              </w:rPr>
              <w:tab/>
            </w:r>
            <w:r w:rsidR="00D02973">
              <w:rPr>
                <w:noProof/>
                <w:webHidden/>
              </w:rPr>
              <w:fldChar w:fldCharType="begin"/>
            </w:r>
            <w:r w:rsidR="00D02973">
              <w:rPr>
                <w:noProof/>
                <w:webHidden/>
              </w:rPr>
              <w:instrText xml:space="preserve"> PAGEREF _Toc448475185 \h </w:instrText>
            </w:r>
            <w:r w:rsidR="00D02973">
              <w:rPr>
                <w:noProof/>
                <w:webHidden/>
              </w:rPr>
            </w:r>
            <w:r w:rsidR="00D02973">
              <w:rPr>
                <w:noProof/>
                <w:webHidden/>
              </w:rPr>
              <w:fldChar w:fldCharType="separate"/>
            </w:r>
            <w:r w:rsidR="009A42EB">
              <w:rPr>
                <w:noProof/>
                <w:webHidden/>
              </w:rPr>
              <w:t>26</w:t>
            </w:r>
            <w:r w:rsidR="00D02973">
              <w:rPr>
                <w:noProof/>
                <w:webHidden/>
              </w:rPr>
              <w:fldChar w:fldCharType="end"/>
            </w:r>
          </w:hyperlink>
        </w:p>
        <w:p w:rsidR="00D02973" w:rsidRDefault="000702B7" w:rsidP="00D02973">
          <w:pPr>
            <w:pStyle w:val="TOC3"/>
            <w:tabs>
              <w:tab w:val="left" w:pos="1200"/>
              <w:tab w:val="right" w:leader="dot" w:pos="9017"/>
            </w:tabs>
            <w:rPr>
              <w:rFonts w:eastAsiaTheme="minorEastAsia"/>
              <w:noProof/>
              <w:lang w:eastAsia="en-AU"/>
            </w:rPr>
          </w:pPr>
          <w:hyperlink w:anchor="_Toc448475186" w:history="1">
            <w:r w:rsidR="00D02973" w:rsidRPr="004B76D5">
              <w:rPr>
                <w:rStyle w:val="Hyperlink"/>
                <w:noProof/>
              </w:rPr>
              <w:t>3.2.3</w:t>
            </w:r>
            <w:r w:rsidR="00D02973">
              <w:rPr>
                <w:rFonts w:eastAsiaTheme="minorEastAsia"/>
                <w:noProof/>
                <w:lang w:eastAsia="en-AU"/>
              </w:rPr>
              <w:tab/>
            </w:r>
            <w:r w:rsidR="00D02973" w:rsidRPr="004B76D5">
              <w:rPr>
                <w:rStyle w:val="Hyperlink"/>
                <w:noProof/>
              </w:rPr>
              <w:t>Environmental Issues/Climate Change</w:t>
            </w:r>
            <w:r w:rsidR="00D02973">
              <w:rPr>
                <w:noProof/>
                <w:webHidden/>
              </w:rPr>
              <w:tab/>
            </w:r>
            <w:r w:rsidR="00D02973">
              <w:rPr>
                <w:noProof/>
                <w:webHidden/>
              </w:rPr>
              <w:fldChar w:fldCharType="begin"/>
            </w:r>
            <w:r w:rsidR="00D02973">
              <w:rPr>
                <w:noProof/>
                <w:webHidden/>
              </w:rPr>
              <w:instrText xml:space="preserve"> PAGEREF _Toc448475186 \h </w:instrText>
            </w:r>
            <w:r w:rsidR="00D02973">
              <w:rPr>
                <w:noProof/>
                <w:webHidden/>
              </w:rPr>
            </w:r>
            <w:r w:rsidR="00D02973">
              <w:rPr>
                <w:noProof/>
                <w:webHidden/>
              </w:rPr>
              <w:fldChar w:fldCharType="separate"/>
            </w:r>
            <w:r w:rsidR="009A42EB">
              <w:rPr>
                <w:noProof/>
                <w:webHidden/>
              </w:rPr>
              <w:t>26</w:t>
            </w:r>
            <w:r w:rsidR="00D02973">
              <w:rPr>
                <w:noProof/>
                <w:webHidden/>
              </w:rPr>
              <w:fldChar w:fldCharType="end"/>
            </w:r>
          </w:hyperlink>
        </w:p>
        <w:p w:rsidR="00D02973" w:rsidRDefault="000702B7" w:rsidP="00D02973">
          <w:pPr>
            <w:pStyle w:val="TOC2"/>
            <w:tabs>
              <w:tab w:val="left" w:pos="960"/>
              <w:tab w:val="right" w:leader="dot" w:pos="9017"/>
            </w:tabs>
            <w:rPr>
              <w:rFonts w:eastAsiaTheme="minorEastAsia"/>
              <w:noProof/>
              <w:lang w:eastAsia="en-AU"/>
            </w:rPr>
          </w:pPr>
          <w:hyperlink w:anchor="_Toc448475187" w:history="1">
            <w:r w:rsidR="00D02973" w:rsidRPr="004B76D5">
              <w:rPr>
                <w:rStyle w:val="Hyperlink"/>
                <w:noProof/>
              </w:rPr>
              <w:t xml:space="preserve">3.3 </w:t>
            </w:r>
            <w:r w:rsidR="00D02973">
              <w:rPr>
                <w:rFonts w:eastAsiaTheme="minorEastAsia"/>
                <w:noProof/>
                <w:lang w:eastAsia="en-AU"/>
              </w:rPr>
              <w:tab/>
            </w:r>
            <w:r w:rsidR="00D02973" w:rsidRPr="004B76D5">
              <w:rPr>
                <w:rStyle w:val="Hyperlink"/>
                <w:noProof/>
              </w:rPr>
              <w:t>Asset Upgrade Strategies</w:t>
            </w:r>
            <w:r w:rsidR="00D02973">
              <w:rPr>
                <w:noProof/>
                <w:webHidden/>
              </w:rPr>
              <w:tab/>
            </w:r>
            <w:r w:rsidR="00D02973">
              <w:rPr>
                <w:noProof/>
                <w:webHidden/>
              </w:rPr>
              <w:fldChar w:fldCharType="begin"/>
            </w:r>
            <w:r w:rsidR="00D02973">
              <w:rPr>
                <w:noProof/>
                <w:webHidden/>
              </w:rPr>
              <w:instrText xml:space="preserve"> PAGEREF _Toc448475187 \h </w:instrText>
            </w:r>
            <w:r w:rsidR="00D02973">
              <w:rPr>
                <w:noProof/>
                <w:webHidden/>
              </w:rPr>
            </w:r>
            <w:r w:rsidR="00D02973">
              <w:rPr>
                <w:noProof/>
                <w:webHidden/>
              </w:rPr>
              <w:fldChar w:fldCharType="separate"/>
            </w:r>
            <w:r w:rsidR="009A42EB">
              <w:rPr>
                <w:noProof/>
                <w:webHidden/>
              </w:rPr>
              <w:t>27</w:t>
            </w:r>
            <w:r w:rsidR="00D02973">
              <w:rPr>
                <w:noProof/>
                <w:webHidden/>
              </w:rPr>
              <w:fldChar w:fldCharType="end"/>
            </w:r>
          </w:hyperlink>
        </w:p>
        <w:p w:rsidR="00D02973" w:rsidRDefault="000702B7" w:rsidP="00D02973">
          <w:pPr>
            <w:pStyle w:val="TOC2"/>
            <w:tabs>
              <w:tab w:val="left" w:pos="960"/>
              <w:tab w:val="right" w:leader="dot" w:pos="9017"/>
            </w:tabs>
            <w:rPr>
              <w:rFonts w:eastAsiaTheme="minorEastAsia"/>
              <w:noProof/>
              <w:lang w:eastAsia="en-AU"/>
            </w:rPr>
          </w:pPr>
          <w:hyperlink w:anchor="_Toc448475188" w:history="1">
            <w:r w:rsidR="00D02973" w:rsidRPr="004B76D5">
              <w:rPr>
                <w:rStyle w:val="Hyperlink"/>
                <w:noProof/>
              </w:rPr>
              <w:t xml:space="preserve">3.4 </w:t>
            </w:r>
            <w:r w:rsidR="00D02973">
              <w:rPr>
                <w:rFonts w:eastAsiaTheme="minorEastAsia"/>
                <w:noProof/>
                <w:lang w:eastAsia="en-AU"/>
              </w:rPr>
              <w:tab/>
            </w:r>
            <w:r w:rsidR="00D02973" w:rsidRPr="004B76D5">
              <w:rPr>
                <w:rStyle w:val="Hyperlink"/>
                <w:noProof/>
              </w:rPr>
              <w:t>Demand Management Strategies</w:t>
            </w:r>
            <w:r w:rsidR="00D02973">
              <w:rPr>
                <w:noProof/>
                <w:webHidden/>
              </w:rPr>
              <w:tab/>
            </w:r>
            <w:r w:rsidR="00D02973">
              <w:rPr>
                <w:noProof/>
                <w:webHidden/>
              </w:rPr>
              <w:fldChar w:fldCharType="begin"/>
            </w:r>
            <w:r w:rsidR="00D02973">
              <w:rPr>
                <w:noProof/>
                <w:webHidden/>
              </w:rPr>
              <w:instrText xml:space="preserve"> PAGEREF _Toc448475188 \h </w:instrText>
            </w:r>
            <w:r w:rsidR="00D02973">
              <w:rPr>
                <w:noProof/>
                <w:webHidden/>
              </w:rPr>
            </w:r>
            <w:r w:rsidR="00D02973">
              <w:rPr>
                <w:noProof/>
                <w:webHidden/>
              </w:rPr>
              <w:fldChar w:fldCharType="separate"/>
            </w:r>
            <w:r w:rsidR="009A42EB">
              <w:rPr>
                <w:noProof/>
                <w:webHidden/>
              </w:rPr>
              <w:t>29</w:t>
            </w:r>
            <w:r w:rsidR="00D02973">
              <w:rPr>
                <w:noProof/>
                <w:webHidden/>
              </w:rPr>
              <w:fldChar w:fldCharType="end"/>
            </w:r>
          </w:hyperlink>
        </w:p>
        <w:p w:rsidR="00D02973" w:rsidRDefault="000702B7" w:rsidP="00D02973">
          <w:pPr>
            <w:pStyle w:val="TOC1"/>
            <w:tabs>
              <w:tab w:val="left" w:pos="720"/>
              <w:tab w:val="right" w:leader="dot" w:pos="9017"/>
            </w:tabs>
            <w:rPr>
              <w:rFonts w:eastAsiaTheme="minorEastAsia"/>
              <w:noProof/>
              <w:lang w:eastAsia="en-AU"/>
            </w:rPr>
          </w:pPr>
          <w:hyperlink w:anchor="_Toc448475189" w:history="1">
            <w:r w:rsidR="00D02973" w:rsidRPr="004B76D5">
              <w:rPr>
                <w:rStyle w:val="Hyperlink"/>
                <w:noProof/>
              </w:rPr>
              <w:t xml:space="preserve">4.0 </w:t>
            </w:r>
            <w:r w:rsidR="00D02973">
              <w:rPr>
                <w:rFonts w:eastAsiaTheme="minorEastAsia"/>
                <w:noProof/>
                <w:lang w:eastAsia="en-AU"/>
              </w:rPr>
              <w:tab/>
            </w:r>
            <w:r w:rsidR="00D02973" w:rsidRPr="004B76D5">
              <w:rPr>
                <w:rStyle w:val="Hyperlink"/>
                <w:noProof/>
              </w:rPr>
              <w:t>Lifecycle Management Plan</w:t>
            </w:r>
            <w:r w:rsidR="00D02973">
              <w:rPr>
                <w:noProof/>
                <w:webHidden/>
              </w:rPr>
              <w:tab/>
            </w:r>
            <w:r w:rsidR="00D02973">
              <w:rPr>
                <w:noProof/>
                <w:webHidden/>
              </w:rPr>
              <w:fldChar w:fldCharType="begin"/>
            </w:r>
            <w:r w:rsidR="00D02973">
              <w:rPr>
                <w:noProof/>
                <w:webHidden/>
              </w:rPr>
              <w:instrText xml:space="preserve"> PAGEREF _Toc448475189 \h </w:instrText>
            </w:r>
            <w:r w:rsidR="00D02973">
              <w:rPr>
                <w:noProof/>
                <w:webHidden/>
              </w:rPr>
            </w:r>
            <w:r w:rsidR="00D02973">
              <w:rPr>
                <w:noProof/>
                <w:webHidden/>
              </w:rPr>
              <w:fldChar w:fldCharType="separate"/>
            </w:r>
            <w:r w:rsidR="009A42EB">
              <w:rPr>
                <w:noProof/>
                <w:webHidden/>
              </w:rPr>
              <w:t>30</w:t>
            </w:r>
            <w:r w:rsidR="00D02973">
              <w:rPr>
                <w:noProof/>
                <w:webHidden/>
              </w:rPr>
              <w:fldChar w:fldCharType="end"/>
            </w:r>
          </w:hyperlink>
        </w:p>
        <w:p w:rsidR="00D02973" w:rsidRDefault="000702B7" w:rsidP="00D02973">
          <w:pPr>
            <w:pStyle w:val="TOC2"/>
            <w:tabs>
              <w:tab w:val="left" w:pos="720"/>
              <w:tab w:val="right" w:leader="dot" w:pos="9017"/>
            </w:tabs>
            <w:rPr>
              <w:rFonts w:eastAsiaTheme="minorEastAsia"/>
              <w:noProof/>
              <w:lang w:eastAsia="en-AU"/>
            </w:rPr>
          </w:pPr>
          <w:hyperlink w:anchor="_Toc448475190" w:history="1">
            <w:r w:rsidR="00D02973" w:rsidRPr="004B76D5">
              <w:rPr>
                <w:rStyle w:val="Hyperlink"/>
                <w:noProof/>
              </w:rPr>
              <w:t>4.1</w:t>
            </w:r>
            <w:r w:rsidR="00D02973">
              <w:rPr>
                <w:rFonts w:eastAsiaTheme="minorEastAsia"/>
                <w:noProof/>
                <w:lang w:eastAsia="en-AU"/>
              </w:rPr>
              <w:tab/>
            </w:r>
            <w:r w:rsidR="00D02973" w:rsidRPr="004B76D5">
              <w:rPr>
                <w:rStyle w:val="Hyperlink"/>
                <w:noProof/>
              </w:rPr>
              <w:t>Asset Description and Quantity</w:t>
            </w:r>
            <w:r w:rsidR="00D02973">
              <w:rPr>
                <w:noProof/>
                <w:webHidden/>
              </w:rPr>
              <w:tab/>
            </w:r>
            <w:r w:rsidR="00D02973">
              <w:rPr>
                <w:noProof/>
                <w:webHidden/>
              </w:rPr>
              <w:fldChar w:fldCharType="begin"/>
            </w:r>
            <w:r w:rsidR="00D02973">
              <w:rPr>
                <w:noProof/>
                <w:webHidden/>
              </w:rPr>
              <w:instrText xml:space="preserve"> PAGEREF _Toc448475190 \h </w:instrText>
            </w:r>
            <w:r w:rsidR="00D02973">
              <w:rPr>
                <w:noProof/>
                <w:webHidden/>
              </w:rPr>
            </w:r>
            <w:r w:rsidR="00D02973">
              <w:rPr>
                <w:noProof/>
                <w:webHidden/>
              </w:rPr>
              <w:fldChar w:fldCharType="separate"/>
            </w:r>
            <w:r w:rsidR="009A42EB">
              <w:rPr>
                <w:noProof/>
                <w:webHidden/>
              </w:rPr>
              <w:t>31</w:t>
            </w:r>
            <w:r w:rsidR="00D02973">
              <w:rPr>
                <w:noProof/>
                <w:webHidden/>
              </w:rPr>
              <w:fldChar w:fldCharType="end"/>
            </w:r>
          </w:hyperlink>
        </w:p>
        <w:p w:rsidR="00D02973" w:rsidRDefault="000702B7" w:rsidP="00D02973">
          <w:pPr>
            <w:pStyle w:val="TOC3"/>
            <w:tabs>
              <w:tab w:val="left" w:pos="1200"/>
              <w:tab w:val="right" w:leader="dot" w:pos="9017"/>
            </w:tabs>
            <w:rPr>
              <w:rFonts w:eastAsiaTheme="minorEastAsia"/>
              <w:noProof/>
              <w:lang w:eastAsia="en-AU"/>
            </w:rPr>
          </w:pPr>
          <w:hyperlink w:anchor="_Toc448475191" w:history="1">
            <w:r w:rsidR="00D02973" w:rsidRPr="004B76D5">
              <w:rPr>
                <w:rStyle w:val="Hyperlink"/>
                <w:noProof/>
              </w:rPr>
              <w:t>4.1.1</w:t>
            </w:r>
            <w:r w:rsidR="00D02973">
              <w:rPr>
                <w:rFonts w:eastAsiaTheme="minorEastAsia"/>
                <w:noProof/>
                <w:lang w:eastAsia="en-AU"/>
              </w:rPr>
              <w:tab/>
            </w:r>
            <w:r w:rsidR="00D02973" w:rsidRPr="004B76D5">
              <w:rPr>
                <w:rStyle w:val="Hyperlink"/>
                <w:noProof/>
              </w:rPr>
              <w:t>Asset Quantities</w:t>
            </w:r>
            <w:r w:rsidR="00D02973">
              <w:rPr>
                <w:noProof/>
                <w:webHidden/>
              </w:rPr>
              <w:tab/>
            </w:r>
            <w:r w:rsidR="00D02973">
              <w:rPr>
                <w:noProof/>
                <w:webHidden/>
              </w:rPr>
              <w:fldChar w:fldCharType="begin"/>
            </w:r>
            <w:r w:rsidR="00D02973">
              <w:rPr>
                <w:noProof/>
                <w:webHidden/>
              </w:rPr>
              <w:instrText xml:space="preserve"> PAGEREF _Toc448475191 \h </w:instrText>
            </w:r>
            <w:r w:rsidR="00D02973">
              <w:rPr>
                <w:noProof/>
                <w:webHidden/>
              </w:rPr>
            </w:r>
            <w:r w:rsidR="00D02973">
              <w:rPr>
                <w:noProof/>
                <w:webHidden/>
              </w:rPr>
              <w:fldChar w:fldCharType="separate"/>
            </w:r>
            <w:r w:rsidR="009A42EB">
              <w:rPr>
                <w:noProof/>
                <w:webHidden/>
              </w:rPr>
              <w:t>31</w:t>
            </w:r>
            <w:r w:rsidR="00D02973">
              <w:rPr>
                <w:noProof/>
                <w:webHidden/>
              </w:rPr>
              <w:fldChar w:fldCharType="end"/>
            </w:r>
          </w:hyperlink>
        </w:p>
        <w:p w:rsidR="00D02973" w:rsidRDefault="000702B7" w:rsidP="00D02973">
          <w:pPr>
            <w:pStyle w:val="TOC2"/>
            <w:tabs>
              <w:tab w:val="left" w:pos="720"/>
              <w:tab w:val="right" w:leader="dot" w:pos="9017"/>
            </w:tabs>
            <w:rPr>
              <w:rFonts w:eastAsiaTheme="minorEastAsia"/>
              <w:noProof/>
              <w:lang w:eastAsia="en-AU"/>
            </w:rPr>
          </w:pPr>
          <w:hyperlink w:anchor="_Toc448475192" w:history="1">
            <w:r w:rsidR="00D02973" w:rsidRPr="004B76D5">
              <w:rPr>
                <w:rStyle w:val="Hyperlink"/>
                <w:noProof/>
              </w:rPr>
              <w:t>4.2</w:t>
            </w:r>
            <w:r w:rsidR="00D02973">
              <w:rPr>
                <w:rFonts w:eastAsiaTheme="minorEastAsia"/>
                <w:noProof/>
                <w:lang w:eastAsia="en-AU"/>
              </w:rPr>
              <w:tab/>
            </w:r>
            <w:r w:rsidR="00D02973" w:rsidRPr="004B76D5">
              <w:rPr>
                <w:rStyle w:val="Hyperlink"/>
                <w:noProof/>
              </w:rPr>
              <w:t>Asset Age and Useful Lives</w:t>
            </w:r>
            <w:r w:rsidR="00D02973">
              <w:rPr>
                <w:noProof/>
                <w:webHidden/>
              </w:rPr>
              <w:tab/>
            </w:r>
            <w:r w:rsidR="00D02973">
              <w:rPr>
                <w:noProof/>
                <w:webHidden/>
              </w:rPr>
              <w:fldChar w:fldCharType="begin"/>
            </w:r>
            <w:r w:rsidR="00D02973">
              <w:rPr>
                <w:noProof/>
                <w:webHidden/>
              </w:rPr>
              <w:instrText xml:space="preserve"> PAGEREF _Toc448475192 \h </w:instrText>
            </w:r>
            <w:r w:rsidR="00D02973">
              <w:rPr>
                <w:noProof/>
                <w:webHidden/>
              </w:rPr>
            </w:r>
            <w:r w:rsidR="00D02973">
              <w:rPr>
                <w:noProof/>
                <w:webHidden/>
              </w:rPr>
              <w:fldChar w:fldCharType="separate"/>
            </w:r>
            <w:r w:rsidR="009A42EB">
              <w:rPr>
                <w:noProof/>
                <w:webHidden/>
              </w:rPr>
              <w:t>33</w:t>
            </w:r>
            <w:r w:rsidR="00D02973">
              <w:rPr>
                <w:noProof/>
                <w:webHidden/>
              </w:rPr>
              <w:fldChar w:fldCharType="end"/>
            </w:r>
          </w:hyperlink>
        </w:p>
        <w:p w:rsidR="00D02973" w:rsidRDefault="000702B7" w:rsidP="00D02973">
          <w:pPr>
            <w:pStyle w:val="TOC3"/>
            <w:tabs>
              <w:tab w:val="left" w:pos="1200"/>
              <w:tab w:val="right" w:leader="dot" w:pos="9017"/>
            </w:tabs>
            <w:rPr>
              <w:rFonts w:eastAsiaTheme="minorEastAsia"/>
              <w:noProof/>
              <w:lang w:eastAsia="en-AU"/>
            </w:rPr>
          </w:pPr>
          <w:hyperlink w:anchor="_Toc448475193" w:history="1">
            <w:r w:rsidR="00D02973" w:rsidRPr="004B76D5">
              <w:rPr>
                <w:rStyle w:val="Hyperlink"/>
                <w:noProof/>
              </w:rPr>
              <w:t xml:space="preserve">4.2.1 </w:t>
            </w:r>
            <w:r w:rsidR="00D02973">
              <w:rPr>
                <w:rFonts w:eastAsiaTheme="minorEastAsia"/>
                <w:noProof/>
                <w:lang w:eastAsia="en-AU"/>
              </w:rPr>
              <w:tab/>
            </w:r>
            <w:r w:rsidR="00D02973" w:rsidRPr="004B76D5">
              <w:rPr>
                <w:rStyle w:val="Hyperlink"/>
                <w:noProof/>
              </w:rPr>
              <w:t>Asset Useful lives</w:t>
            </w:r>
            <w:r w:rsidR="00D02973">
              <w:rPr>
                <w:noProof/>
                <w:webHidden/>
              </w:rPr>
              <w:tab/>
            </w:r>
            <w:r w:rsidR="00D02973">
              <w:rPr>
                <w:noProof/>
                <w:webHidden/>
              </w:rPr>
              <w:fldChar w:fldCharType="begin"/>
            </w:r>
            <w:r w:rsidR="00D02973">
              <w:rPr>
                <w:noProof/>
                <w:webHidden/>
              </w:rPr>
              <w:instrText xml:space="preserve"> PAGEREF _Toc448475193 \h </w:instrText>
            </w:r>
            <w:r w:rsidR="00D02973">
              <w:rPr>
                <w:noProof/>
                <w:webHidden/>
              </w:rPr>
            </w:r>
            <w:r w:rsidR="00D02973">
              <w:rPr>
                <w:noProof/>
                <w:webHidden/>
              </w:rPr>
              <w:fldChar w:fldCharType="separate"/>
            </w:r>
            <w:r w:rsidR="009A42EB">
              <w:rPr>
                <w:noProof/>
                <w:webHidden/>
              </w:rPr>
              <w:t>33</w:t>
            </w:r>
            <w:r w:rsidR="00D02973">
              <w:rPr>
                <w:noProof/>
                <w:webHidden/>
              </w:rPr>
              <w:fldChar w:fldCharType="end"/>
            </w:r>
          </w:hyperlink>
        </w:p>
        <w:p w:rsidR="00D02973" w:rsidRDefault="000702B7" w:rsidP="00D02973">
          <w:pPr>
            <w:pStyle w:val="TOC3"/>
            <w:tabs>
              <w:tab w:val="left" w:pos="1200"/>
              <w:tab w:val="right" w:leader="dot" w:pos="9017"/>
            </w:tabs>
            <w:rPr>
              <w:rFonts w:eastAsiaTheme="minorEastAsia"/>
              <w:noProof/>
              <w:lang w:eastAsia="en-AU"/>
            </w:rPr>
          </w:pPr>
          <w:hyperlink w:anchor="_Toc448475194" w:history="1">
            <w:r w:rsidR="00D02973" w:rsidRPr="004B76D5">
              <w:rPr>
                <w:rStyle w:val="Hyperlink"/>
                <w:noProof/>
              </w:rPr>
              <w:t xml:space="preserve">4.2.2 </w:t>
            </w:r>
            <w:r w:rsidR="00D02973">
              <w:rPr>
                <w:rFonts w:eastAsiaTheme="minorEastAsia"/>
                <w:noProof/>
                <w:lang w:eastAsia="en-AU"/>
              </w:rPr>
              <w:tab/>
            </w:r>
            <w:r w:rsidR="00D02973" w:rsidRPr="004B76D5">
              <w:rPr>
                <w:rStyle w:val="Hyperlink"/>
                <w:noProof/>
              </w:rPr>
              <w:t>Age Profile</w:t>
            </w:r>
            <w:r w:rsidR="00D02973">
              <w:rPr>
                <w:noProof/>
                <w:webHidden/>
              </w:rPr>
              <w:tab/>
            </w:r>
            <w:r w:rsidR="00D02973">
              <w:rPr>
                <w:noProof/>
                <w:webHidden/>
              </w:rPr>
              <w:fldChar w:fldCharType="begin"/>
            </w:r>
            <w:r w:rsidR="00D02973">
              <w:rPr>
                <w:noProof/>
                <w:webHidden/>
              </w:rPr>
              <w:instrText xml:space="preserve"> PAGEREF _Toc448475194 \h </w:instrText>
            </w:r>
            <w:r w:rsidR="00D02973">
              <w:rPr>
                <w:noProof/>
                <w:webHidden/>
              </w:rPr>
            </w:r>
            <w:r w:rsidR="00D02973">
              <w:rPr>
                <w:noProof/>
                <w:webHidden/>
              </w:rPr>
              <w:fldChar w:fldCharType="separate"/>
            </w:r>
            <w:r w:rsidR="009A42EB">
              <w:rPr>
                <w:noProof/>
                <w:webHidden/>
              </w:rPr>
              <w:t>34</w:t>
            </w:r>
            <w:r w:rsidR="00D02973">
              <w:rPr>
                <w:noProof/>
                <w:webHidden/>
              </w:rPr>
              <w:fldChar w:fldCharType="end"/>
            </w:r>
          </w:hyperlink>
        </w:p>
        <w:p w:rsidR="00D02973" w:rsidRDefault="000702B7" w:rsidP="00D02973">
          <w:pPr>
            <w:pStyle w:val="TOC2"/>
            <w:tabs>
              <w:tab w:val="left" w:pos="720"/>
              <w:tab w:val="right" w:leader="dot" w:pos="9017"/>
            </w:tabs>
            <w:rPr>
              <w:rFonts w:eastAsiaTheme="minorEastAsia"/>
              <w:noProof/>
              <w:lang w:eastAsia="en-AU"/>
            </w:rPr>
          </w:pPr>
          <w:hyperlink w:anchor="_Toc448475195" w:history="1">
            <w:r w:rsidR="00D02973" w:rsidRPr="004B76D5">
              <w:rPr>
                <w:rStyle w:val="Hyperlink"/>
                <w:noProof/>
              </w:rPr>
              <w:t>4.3</w:t>
            </w:r>
            <w:r w:rsidR="00D02973">
              <w:rPr>
                <w:rFonts w:eastAsiaTheme="minorEastAsia"/>
                <w:noProof/>
                <w:lang w:eastAsia="en-AU"/>
              </w:rPr>
              <w:tab/>
            </w:r>
            <w:r w:rsidR="00D02973" w:rsidRPr="004B76D5">
              <w:rPr>
                <w:rStyle w:val="Hyperlink"/>
                <w:noProof/>
              </w:rPr>
              <w:t>Asset Condition</w:t>
            </w:r>
            <w:r w:rsidR="00D02973">
              <w:rPr>
                <w:noProof/>
                <w:webHidden/>
              </w:rPr>
              <w:tab/>
            </w:r>
            <w:r w:rsidR="00D02973">
              <w:rPr>
                <w:noProof/>
                <w:webHidden/>
              </w:rPr>
              <w:fldChar w:fldCharType="begin"/>
            </w:r>
            <w:r w:rsidR="00D02973">
              <w:rPr>
                <w:noProof/>
                <w:webHidden/>
              </w:rPr>
              <w:instrText xml:space="preserve"> PAGEREF _Toc448475195 \h </w:instrText>
            </w:r>
            <w:r w:rsidR="00D02973">
              <w:rPr>
                <w:noProof/>
                <w:webHidden/>
              </w:rPr>
            </w:r>
            <w:r w:rsidR="00D02973">
              <w:rPr>
                <w:noProof/>
                <w:webHidden/>
              </w:rPr>
              <w:fldChar w:fldCharType="separate"/>
            </w:r>
            <w:r w:rsidR="009A42EB">
              <w:rPr>
                <w:noProof/>
                <w:webHidden/>
              </w:rPr>
              <w:t>35</w:t>
            </w:r>
            <w:r w:rsidR="00D02973">
              <w:rPr>
                <w:noProof/>
                <w:webHidden/>
              </w:rPr>
              <w:fldChar w:fldCharType="end"/>
            </w:r>
          </w:hyperlink>
        </w:p>
        <w:p w:rsidR="00D02973" w:rsidRDefault="000702B7" w:rsidP="00D02973">
          <w:pPr>
            <w:pStyle w:val="TOC3"/>
            <w:tabs>
              <w:tab w:val="left" w:pos="1200"/>
              <w:tab w:val="right" w:leader="dot" w:pos="9017"/>
            </w:tabs>
            <w:rPr>
              <w:rFonts w:eastAsiaTheme="minorEastAsia"/>
              <w:noProof/>
              <w:lang w:eastAsia="en-AU"/>
            </w:rPr>
          </w:pPr>
          <w:hyperlink w:anchor="_Toc448475196" w:history="1">
            <w:r w:rsidR="00D02973" w:rsidRPr="004B76D5">
              <w:rPr>
                <w:rStyle w:val="Hyperlink"/>
                <w:noProof/>
              </w:rPr>
              <w:t>4.3.1</w:t>
            </w:r>
            <w:r w:rsidR="00D02973">
              <w:rPr>
                <w:rFonts w:eastAsiaTheme="minorEastAsia"/>
                <w:noProof/>
                <w:lang w:eastAsia="en-AU"/>
              </w:rPr>
              <w:tab/>
            </w:r>
            <w:r w:rsidR="00D02973" w:rsidRPr="004B76D5">
              <w:rPr>
                <w:rStyle w:val="Hyperlink"/>
                <w:noProof/>
              </w:rPr>
              <w:t xml:space="preserve"> Lifecycle Condition Audit</w:t>
            </w:r>
            <w:r w:rsidR="00D02973">
              <w:rPr>
                <w:noProof/>
                <w:webHidden/>
              </w:rPr>
              <w:tab/>
            </w:r>
            <w:r w:rsidR="00D02973">
              <w:rPr>
                <w:noProof/>
                <w:webHidden/>
              </w:rPr>
              <w:fldChar w:fldCharType="begin"/>
            </w:r>
            <w:r w:rsidR="00D02973">
              <w:rPr>
                <w:noProof/>
                <w:webHidden/>
              </w:rPr>
              <w:instrText xml:space="preserve"> PAGEREF _Toc448475196 \h </w:instrText>
            </w:r>
            <w:r w:rsidR="00D02973">
              <w:rPr>
                <w:noProof/>
                <w:webHidden/>
              </w:rPr>
            </w:r>
            <w:r w:rsidR="00D02973">
              <w:rPr>
                <w:noProof/>
                <w:webHidden/>
              </w:rPr>
              <w:fldChar w:fldCharType="separate"/>
            </w:r>
            <w:r w:rsidR="009A42EB">
              <w:rPr>
                <w:noProof/>
                <w:webHidden/>
              </w:rPr>
              <w:t>35</w:t>
            </w:r>
            <w:r w:rsidR="00D02973">
              <w:rPr>
                <w:noProof/>
                <w:webHidden/>
              </w:rPr>
              <w:fldChar w:fldCharType="end"/>
            </w:r>
          </w:hyperlink>
        </w:p>
        <w:p w:rsidR="00D02973" w:rsidRDefault="000702B7" w:rsidP="00D02973">
          <w:pPr>
            <w:pStyle w:val="TOC3"/>
            <w:tabs>
              <w:tab w:val="left" w:pos="1200"/>
              <w:tab w:val="right" w:leader="dot" w:pos="9017"/>
            </w:tabs>
            <w:rPr>
              <w:rFonts w:eastAsiaTheme="minorEastAsia"/>
              <w:noProof/>
              <w:lang w:eastAsia="en-AU"/>
            </w:rPr>
          </w:pPr>
          <w:hyperlink w:anchor="_Toc448475197" w:history="1">
            <w:r w:rsidR="00D02973" w:rsidRPr="004B76D5">
              <w:rPr>
                <w:rStyle w:val="Hyperlink"/>
                <w:noProof/>
              </w:rPr>
              <w:t xml:space="preserve">4.3.2 </w:t>
            </w:r>
            <w:r w:rsidR="00D02973">
              <w:rPr>
                <w:rFonts w:eastAsiaTheme="minorEastAsia"/>
                <w:noProof/>
                <w:lang w:eastAsia="en-AU"/>
              </w:rPr>
              <w:tab/>
            </w:r>
            <w:r w:rsidR="00D02973" w:rsidRPr="004B76D5">
              <w:rPr>
                <w:rStyle w:val="Hyperlink"/>
                <w:noProof/>
              </w:rPr>
              <w:t>Asset Condition Rating</w:t>
            </w:r>
            <w:r w:rsidR="00D02973">
              <w:rPr>
                <w:noProof/>
                <w:webHidden/>
              </w:rPr>
              <w:tab/>
            </w:r>
            <w:r w:rsidR="00D02973">
              <w:rPr>
                <w:noProof/>
                <w:webHidden/>
              </w:rPr>
              <w:fldChar w:fldCharType="begin"/>
            </w:r>
            <w:r w:rsidR="00D02973">
              <w:rPr>
                <w:noProof/>
                <w:webHidden/>
              </w:rPr>
              <w:instrText xml:space="preserve"> PAGEREF _Toc448475197 \h </w:instrText>
            </w:r>
            <w:r w:rsidR="00D02973">
              <w:rPr>
                <w:noProof/>
                <w:webHidden/>
              </w:rPr>
            </w:r>
            <w:r w:rsidR="00D02973">
              <w:rPr>
                <w:noProof/>
                <w:webHidden/>
              </w:rPr>
              <w:fldChar w:fldCharType="separate"/>
            </w:r>
            <w:r w:rsidR="009A42EB">
              <w:rPr>
                <w:noProof/>
                <w:webHidden/>
              </w:rPr>
              <w:t>35</w:t>
            </w:r>
            <w:r w:rsidR="00D02973">
              <w:rPr>
                <w:noProof/>
                <w:webHidden/>
              </w:rPr>
              <w:fldChar w:fldCharType="end"/>
            </w:r>
          </w:hyperlink>
        </w:p>
        <w:p w:rsidR="00D02973" w:rsidRDefault="000702B7" w:rsidP="00D02973">
          <w:pPr>
            <w:pStyle w:val="TOC3"/>
            <w:tabs>
              <w:tab w:val="left" w:pos="1200"/>
              <w:tab w:val="right" w:leader="dot" w:pos="9017"/>
            </w:tabs>
            <w:rPr>
              <w:rFonts w:eastAsiaTheme="minorEastAsia"/>
              <w:noProof/>
              <w:lang w:eastAsia="en-AU"/>
            </w:rPr>
          </w:pPr>
          <w:hyperlink w:anchor="_Toc448475198" w:history="1">
            <w:r w:rsidR="00D02973" w:rsidRPr="004B76D5">
              <w:rPr>
                <w:rStyle w:val="Hyperlink"/>
                <w:noProof/>
              </w:rPr>
              <w:t xml:space="preserve">4.3.3 </w:t>
            </w:r>
            <w:r w:rsidR="00D02973">
              <w:rPr>
                <w:rFonts w:eastAsiaTheme="minorEastAsia"/>
                <w:noProof/>
                <w:lang w:eastAsia="en-AU"/>
              </w:rPr>
              <w:tab/>
            </w:r>
            <w:r w:rsidR="00D02973" w:rsidRPr="004B76D5">
              <w:rPr>
                <w:rStyle w:val="Hyperlink"/>
                <w:noProof/>
              </w:rPr>
              <w:t>Asset Condition</w:t>
            </w:r>
            <w:r w:rsidR="00D02973">
              <w:rPr>
                <w:noProof/>
                <w:webHidden/>
              </w:rPr>
              <w:tab/>
            </w:r>
            <w:r w:rsidR="00D02973">
              <w:rPr>
                <w:noProof/>
                <w:webHidden/>
              </w:rPr>
              <w:fldChar w:fldCharType="begin"/>
            </w:r>
            <w:r w:rsidR="00D02973">
              <w:rPr>
                <w:noProof/>
                <w:webHidden/>
              </w:rPr>
              <w:instrText xml:space="preserve"> PAGEREF _Toc448475198 \h </w:instrText>
            </w:r>
            <w:r w:rsidR="00D02973">
              <w:rPr>
                <w:noProof/>
                <w:webHidden/>
              </w:rPr>
            </w:r>
            <w:r w:rsidR="00D02973">
              <w:rPr>
                <w:noProof/>
                <w:webHidden/>
              </w:rPr>
              <w:fldChar w:fldCharType="separate"/>
            </w:r>
            <w:r w:rsidR="009A42EB">
              <w:rPr>
                <w:noProof/>
                <w:webHidden/>
              </w:rPr>
              <w:t>35</w:t>
            </w:r>
            <w:r w:rsidR="00D02973">
              <w:rPr>
                <w:noProof/>
                <w:webHidden/>
              </w:rPr>
              <w:fldChar w:fldCharType="end"/>
            </w:r>
          </w:hyperlink>
        </w:p>
        <w:p w:rsidR="00D02973" w:rsidRDefault="000702B7" w:rsidP="00D02973">
          <w:pPr>
            <w:pStyle w:val="TOC2"/>
            <w:tabs>
              <w:tab w:val="left" w:pos="720"/>
              <w:tab w:val="right" w:leader="dot" w:pos="9017"/>
            </w:tabs>
            <w:rPr>
              <w:rFonts w:eastAsiaTheme="minorEastAsia"/>
              <w:noProof/>
              <w:lang w:eastAsia="en-AU"/>
            </w:rPr>
          </w:pPr>
          <w:hyperlink w:anchor="_Toc448475199" w:history="1">
            <w:r w:rsidR="00D02973" w:rsidRPr="004B76D5">
              <w:rPr>
                <w:rStyle w:val="Hyperlink"/>
                <w:noProof/>
              </w:rPr>
              <w:t>4.4</w:t>
            </w:r>
            <w:r w:rsidR="00D02973">
              <w:rPr>
                <w:rFonts w:eastAsiaTheme="minorEastAsia"/>
                <w:noProof/>
                <w:lang w:eastAsia="en-AU"/>
              </w:rPr>
              <w:tab/>
            </w:r>
            <w:r w:rsidR="00D02973" w:rsidRPr="004B76D5">
              <w:rPr>
                <w:rStyle w:val="Hyperlink"/>
                <w:noProof/>
              </w:rPr>
              <w:t>Risk Identification</w:t>
            </w:r>
            <w:r w:rsidR="00D02973">
              <w:rPr>
                <w:noProof/>
                <w:webHidden/>
              </w:rPr>
              <w:tab/>
            </w:r>
            <w:r w:rsidR="00D02973">
              <w:rPr>
                <w:noProof/>
                <w:webHidden/>
              </w:rPr>
              <w:fldChar w:fldCharType="begin"/>
            </w:r>
            <w:r w:rsidR="00D02973">
              <w:rPr>
                <w:noProof/>
                <w:webHidden/>
              </w:rPr>
              <w:instrText xml:space="preserve"> PAGEREF _Toc448475199 \h </w:instrText>
            </w:r>
            <w:r w:rsidR="00D02973">
              <w:rPr>
                <w:noProof/>
                <w:webHidden/>
              </w:rPr>
            </w:r>
            <w:r w:rsidR="00D02973">
              <w:rPr>
                <w:noProof/>
                <w:webHidden/>
              </w:rPr>
              <w:fldChar w:fldCharType="separate"/>
            </w:r>
            <w:r w:rsidR="009A42EB">
              <w:rPr>
                <w:noProof/>
                <w:webHidden/>
              </w:rPr>
              <w:t>36</w:t>
            </w:r>
            <w:r w:rsidR="00D02973">
              <w:rPr>
                <w:noProof/>
                <w:webHidden/>
              </w:rPr>
              <w:fldChar w:fldCharType="end"/>
            </w:r>
          </w:hyperlink>
        </w:p>
        <w:p w:rsidR="00D02973" w:rsidRDefault="000702B7" w:rsidP="00D02973">
          <w:pPr>
            <w:pStyle w:val="TOC2"/>
            <w:tabs>
              <w:tab w:val="left" w:pos="720"/>
              <w:tab w:val="right" w:leader="dot" w:pos="9017"/>
            </w:tabs>
            <w:rPr>
              <w:rFonts w:eastAsiaTheme="minorEastAsia"/>
              <w:noProof/>
              <w:lang w:eastAsia="en-AU"/>
            </w:rPr>
          </w:pPr>
          <w:hyperlink w:anchor="_Toc448475200" w:history="1">
            <w:r w:rsidR="00D02973" w:rsidRPr="004B76D5">
              <w:rPr>
                <w:rStyle w:val="Hyperlink"/>
                <w:noProof/>
              </w:rPr>
              <w:t>4.5</w:t>
            </w:r>
            <w:r w:rsidR="00D02973">
              <w:rPr>
                <w:rFonts w:eastAsiaTheme="minorEastAsia"/>
                <w:noProof/>
                <w:lang w:eastAsia="en-AU"/>
              </w:rPr>
              <w:tab/>
            </w:r>
            <w:r w:rsidR="00D02973" w:rsidRPr="004B76D5">
              <w:rPr>
                <w:rStyle w:val="Hyperlink"/>
                <w:noProof/>
              </w:rPr>
              <w:t>Asset Data Storage Systems</w:t>
            </w:r>
            <w:r w:rsidR="00D02973">
              <w:rPr>
                <w:noProof/>
                <w:webHidden/>
              </w:rPr>
              <w:tab/>
            </w:r>
            <w:r w:rsidR="00D02973">
              <w:rPr>
                <w:noProof/>
                <w:webHidden/>
              </w:rPr>
              <w:fldChar w:fldCharType="begin"/>
            </w:r>
            <w:r w:rsidR="00D02973">
              <w:rPr>
                <w:noProof/>
                <w:webHidden/>
              </w:rPr>
              <w:instrText xml:space="preserve"> PAGEREF _Toc448475200 \h </w:instrText>
            </w:r>
            <w:r w:rsidR="00D02973">
              <w:rPr>
                <w:noProof/>
                <w:webHidden/>
              </w:rPr>
            </w:r>
            <w:r w:rsidR="00D02973">
              <w:rPr>
                <w:noProof/>
                <w:webHidden/>
              </w:rPr>
              <w:fldChar w:fldCharType="separate"/>
            </w:r>
            <w:r w:rsidR="009A42EB">
              <w:rPr>
                <w:noProof/>
                <w:webHidden/>
              </w:rPr>
              <w:t>37</w:t>
            </w:r>
            <w:r w:rsidR="00D02973">
              <w:rPr>
                <w:noProof/>
                <w:webHidden/>
              </w:rPr>
              <w:fldChar w:fldCharType="end"/>
            </w:r>
          </w:hyperlink>
        </w:p>
        <w:p w:rsidR="00D02973" w:rsidRDefault="000702B7" w:rsidP="00D02973">
          <w:pPr>
            <w:pStyle w:val="TOC2"/>
            <w:tabs>
              <w:tab w:val="left" w:pos="720"/>
              <w:tab w:val="right" w:leader="dot" w:pos="9017"/>
            </w:tabs>
            <w:rPr>
              <w:rFonts w:eastAsiaTheme="minorEastAsia"/>
              <w:noProof/>
              <w:lang w:eastAsia="en-AU"/>
            </w:rPr>
          </w:pPr>
          <w:hyperlink w:anchor="_Toc448475201" w:history="1">
            <w:r w:rsidR="00D02973" w:rsidRPr="004B76D5">
              <w:rPr>
                <w:rStyle w:val="Hyperlink"/>
                <w:noProof/>
              </w:rPr>
              <w:t>4.6</w:t>
            </w:r>
            <w:r w:rsidR="00D02973">
              <w:rPr>
                <w:rFonts w:eastAsiaTheme="minorEastAsia"/>
                <w:noProof/>
                <w:lang w:eastAsia="en-AU"/>
              </w:rPr>
              <w:tab/>
            </w:r>
            <w:r w:rsidR="00D02973" w:rsidRPr="004B76D5">
              <w:rPr>
                <w:rStyle w:val="Hyperlink"/>
                <w:noProof/>
              </w:rPr>
              <w:t>Operations and Maintenance</w:t>
            </w:r>
            <w:r w:rsidR="00D02973">
              <w:rPr>
                <w:noProof/>
                <w:webHidden/>
              </w:rPr>
              <w:tab/>
            </w:r>
            <w:r w:rsidR="00D02973">
              <w:rPr>
                <w:noProof/>
                <w:webHidden/>
              </w:rPr>
              <w:fldChar w:fldCharType="begin"/>
            </w:r>
            <w:r w:rsidR="00D02973">
              <w:rPr>
                <w:noProof/>
                <w:webHidden/>
              </w:rPr>
              <w:instrText xml:space="preserve"> PAGEREF _Toc448475201 \h </w:instrText>
            </w:r>
            <w:r w:rsidR="00D02973">
              <w:rPr>
                <w:noProof/>
                <w:webHidden/>
              </w:rPr>
            </w:r>
            <w:r w:rsidR="00D02973">
              <w:rPr>
                <w:noProof/>
                <w:webHidden/>
              </w:rPr>
              <w:fldChar w:fldCharType="separate"/>
            </w:r>
            <w:r w:rsidR="009A42EB">
              <w:rPr>
                <w:noProof/>
                <w:webHidden/>
              </w:rPr>
              <w:t>37</w:t>
            </w:r>
            <w:r w:rsidR="00D02973">
              <w:rPr>
                <w:noProof/>
                <w:webHidden/>
              </w:rPr>
              <w:fldChar w:fldCharType="end"/>
            </w:r>
          </w:hyperlink>
        </w:p>
        <w:p w:rsidR="00D02973" w:rsidRDefault="000702B7" w:rsidP="00D02973">
          <w:pPr>
            <w:pStyle w:val="TOC3"/>
            <w:tabs>
              <w:tab w:val="left" w:pos="1200"/>
              <w:tab w:val="right" w:leader="dot" w:pos="9017"/>
            </w:tabs>
            <w:rPr>
              <w:rFonts w:eastAsiaTheme="minorEastAsia"/>
              <w:noProof/>
              <w:lang w:eastAsia="en-AU"/>
            </w:rPr>
          </w:pPr>
          <w:hyperlink w:anchor="_Toc448475202" w:history="1">
            <w:r w:rsidR="00D02973" w:rsidRPr="004B76D5">
              <w:rPr>
                <w:rStyle w:val="Hyperlink"/>
                <w:noProof/>
              </w:rPr>
              <w:t>4.6.1</w:t>
            </w:r>
            <w:r w:rsidR="00D02973">
              <w:rPr>
                <w:rFonts w:eastAsiaTheme="minorEastAsia"/>
                <w:noProof/>
                <w:lang w:eastAsia="en-AU"/>
              </w:rPr>
              <w:tab/>
            </w:r>
            <w:r w:rsidR="00D02973" w:rsidRPr="004B76D5">
              <w:rPr>
                <w:rStyle w:val="Hyperlink"/>
                <w:noProof/>
              </w:rPr>
              <w:t>Maintenance Arrangements</w:t>
            </w:r>
            <w:r w:rsidR="00D02973">
              <w:rPr>
                <w:noProof/>
                <w:webHidden/>
              </w:rPr>
              <w:tab/>
            </w:r>
            <w:r w:rsidR="00D02973">
              <w:rPr>
                <w:noProof/>
                <w:webHidden/>
              </w:rPr>
              <w:fldChar w:fldCharType="begin"/>
            </w:r>
            <w:r w:rsidR="00D02973">
              <w:rPr>
                <w:noProof/>
                <w:webHidden/>
              </w:rPr>
              <w:instrText xml:space="preserve"> PAGEREF _Toc448475202 \h </w:instrText>
            </w:r>
            <w:r w:rsidR="00D02973">
              <w:rPr>
                <w:noProof/>
                <w:webHidden/>
              </w:rPr>
            </w:r>
            <w:r w:rsidR="00D02973">
              <w:rPr>
                <w:noProof/>
                <w:webHidden/>
              </w:rPr>
              <w:fldChar w:fldCharType="separate"/>
            </w:r>
            <w:r w:rsidR="009A42EB">
              <w:rPr>
                <w:noProof/>
                <w:webHidden/>
              </w:rPr>
              <w:t>37</w:t>
            </w:r>
            <w:r w:rsidR="00D02973">
              <w:rPr>
                <w:noProof/>
                <w:webHidden/>
              </w:rPr>
              <w:fldChar w:fldCharType="end"/>
            </w:r>
          </w:hyperlink>
        </w:p>
        <w:p w:rsidR="00D02973" w:rsidRDefault="000702B7" w:rsidP="00D02973">
          <w:pPr>
            <w:pStyle w:val="TOC3"/>
            <w:tabs>
              <w:tab w:val="left" w:pos="1200"/>
              <w:tab w:val="right" w:leader="dot" w:pos="9017"/>
            </w:tabs>
            <w:rPr>
              <w:rFonts w:eastAsiaTheme="minorEastAsia"/>
              <w:noProof/>
              <w:lang w:eastAsia="en-AU"/>
            </w:rPr>
          </w:pPr>
          <w:hyperlink w:anchor="_Toc448475203" w:history="1">
            <w:r w:rsidR="00D02973" w:rsidRPr="004B76D5">
              <w:rPr>
                <w:rStyle w:val="Hyperlink"/>
                <w:noProof/>
              </w:rPr>
              <w:t xml:space="preserve">4.6.2 </w:t>
            </w:r>
            <w:r w:rsidR="00D02973">
              <w:rPr>
                <w:rFonts w:eastAsiaTheme="minorEastAsia"/>
                <w:noProof/>
                <w:lang w:eastAsia="en-AU"/>
              </w:rPr>
              <w:tab/>
            </w:r>
            <w:r w:rsidR="00D02973" w:rsidRPr="004B76D5">
              <w:rPr>
                <w:rStyle w:val="Hyperlink"/>
                <w:noProof/>
              </w:rPr>
              <w:t>Inspections</w:t>
            </w:r>
            <w:r w:rsidR="00D02973">
              <w:rPr>
                <w:noProof/>
                <w:webHidden/>
              </w:rPr>
              <w:tab/>
            </w:r>
            <w:r w:rsidR="00D02973">
              <w:rPr>
                <w:noProof/>
                <w:webHidden/>
              </w:rPr>
              <w:fldChar w:fldCharType="begin"/>
            </w:r>
            <w:r w:rsidR="00D02973">
              <w:rPr>
                <w:noProof/>
                <w:webHidden/>
              </w:rPr>
              <w:instrText xml:space="preserve"> PAGEREF _Toc448475203 \h </w:instrText>
            </w:r>
            <w:r w:rsidR="00D02973">
              <w:rPr>
                <w:noProof/>
                <w:webHidden/>
              </w:rPr>
            </w:r>
            <w:r w:rsidR="00D02973">
              <w:rPr>
                <w:noProof/>
                <w:webHidden/>
              </w:rPr>
              <w:fldChar w:fldCharType="separate"/>
            </w:r>
            <w:r w:rsidR="009A42EB">
              <w:rPr>
                <w:noProof/>
                <w:webHidden/>
              </w:rPr>
              <w:t>38</w:t>
            </w:r>
            <w:r w:rsidR="00D02973">
              <w:rPr>
                <w:noProof/>
                <w:webHidden/>
              </w:rPr>
              <w:fldChar w:fldCharType="end"/>
            </w:r>
          </w:hyperlink>
        </w:p>
        <w:p w:rsidR="00D02973" w:rsidRDefault="000702B7" w:rsidP="00D02973">
          <w:pPr>
            <w:pStyle w:val="TOC2"/>
            <w:tabs>
              <w:tab w:val="left" w:pos="720"/>
              <w:tab w:val="right" w:leader="dot" w:pos="9017"/>
            </w:tabs>
            <w:rPr>
              <w:rFonts w:eastAsiaTheme="minorEastAsia"/>
              <w:noProof/>
              <w:lang w:eastAsia="en-AU"/>
            </w:rPr>
          </w:pPr>
          <w:hyperlink w:anchor="_Toc448475204" w:history="1">
            <w:r w:rsidR="00D02973" w:rsidRPr="004B76D5">
              <w:rPr>
                <w:rStyle w:val="Hyperlink"/>
                <w:noProof/>
              </w:rPr>
              <w:t>4.7</w:t>
            </w:r>
            <w:r w:rsidR="00D02973">
              <w:rPr>
                <w:rFonts w:eastAsiaTheme="minorEastAsia"/>
                <w:noProof/>
                <w:lang w:eastAsia="en-AU"/>
              </w:rPr>
              <w:tab/>
            </w:r>
            <w:r w:rsidR="00D02973" w:rsidRPr="004B76D5">
              <w:rPr>
                <w:rStyle w:val="Hyperlink"/>
                <w:noProof/>
              </w:rPr>
              <w:t>Renewal, Upgrade and Disposal Plan</w:t>
            </w:r>
            <w:r w:rsidR="00D02973">
              <w:rPr>
                <w:noProof/>
                <w:webHidden/>
              </w:rPr>
              <w:tab/>
            </w:r>
            <w:r w:rsidR="00D02973">
              <w:rPr>
                <w:noProof/>
                <w:webHidden/>
              </w:rPr>
              <w:fldChar w:fldCharType="begin"/>
            </w:r>
            <w:r w:rsidR="00D02973">
              <w:rPr>
                <w:noProof/>
                <w:webHidden/>
              </w:rPr>
              <w:instrText xml:space="preserve"> PAGEREF _Toc448475204 \h </w:instrText>
            </w:r>
            <w:r w:rsidR="00D02973">
              <w:rPr>
                <w:noProof/>
                <w:webHidden/>
              </w:rPr>
            </w:r>
            <w:r w:rsidR="00D02973">
              <w:rPr>
                <w:noProof/>
                <w:webHidden/>
              </w:rPr>
              <w:fldChar w:fldCharType="separate"/>
            </w:r>
            <w:r w:rsidR="009A42EB">
              <w:rPr>
                <w:noProof/>
                <w:webHidden/>
              </w:rPr>
              <w:t>39</w:t>
            </w:r>
            <w:r w:rsidR="00D02973">
              <w:rPr>
                <w:noProof/>
                <w:webHidden/>
              </w:rPr>
              <w:fldChar w:fldCharType="end"/>
            </w:r>
          </w:hyperlink>
        </w:p>
        <w:p w:rsidR="00D02973" w:rsidRDefault="000702B7" w:rsidP="00D02973">
          <w:pPr>
            <w:pStyle w:val="TOC3"/>
            <w:tabs>
              <w:tab w:val="left" w:pos="1200"/>
              <w:tab w:val="right" w:leader="dot" w:pos="9017"/>
            </w:tabs>
            <w:rPr>
              <w:rFonts w:eastAsiaTheme="minorEastAsia"/>
              <w:noProof/>
              <w:lang w:eastAsia="en-AU"/>
            </w:rPr>
          </w:pPr>
          <w:hyperlink w:anchor="_Toc448475205" w:history="1">
            <w:r w:rsidR="00D02973" w:rsidRPr="004B76D5">
              <w:rPr>
                <w:rStyle w:val="Hyperlink"/>
                <w:noProof/>
              </w:rPr>
              <w:t xml:space="preserve">4.7.1 </w:t>
            </w:r>
            <w:r w:rsidR="00D02973">
              <w:rPr>
                <w:rFonts w:eastAsiaTheme="minorEastAsia"/>
                <w:noProof/>
                <w:lang w:eastAsia="en-AU"/>
              </w:rPr>
              <w:tab/>
            </w:r>
            <w:r w:rsidR="00D02973" w:rsidRPr="004B76D5">
              <w:rPr>
                <w:rStyle w:val="Hyperlink"/>
                <w:noProof/>
              </w:rPr>
              <w:t>Renewal Strategy Prioritisation Process</w:t>
            </w:r>
            <w:r w:rsidR="00D02973">
              <w:rPr>
                <w:noProof/>
                <w:webHidden/>
              </w:rPr>
              <w:tab/>
            </w:r>
            <w:r w:rsidR="00D02973">
              <w:rPr>
                <w:noProof/>
                <w:webHidden/>
              </w:rPr>
              <w:fldChar w:fldCharType="begin"/>
            </w:r>
            <w:r w:rsidR="00D02973">
              <w:rPr>
                <w:noProof/>
                <w:webHidden/>
              </w:rPr>
              <w:instrText xml:space="preserve"> PAGEREF _Toc448475205 \h </w:instrText>
            </w:r>
            <w:r w:rsidR="00D02973">
              <w:rPr>
                <w:noProof/>
                <w:webHidden/>
              </w:rPr>
            </w:r>
            <w:r w:rsidR="00D02973">
              <w:rPr>
                <w:noProof/>
                <w:webHidden/>
              </w:rPr>
              <w:fldChar w:fldCharType="separate"/>
            </w:r>
            <w:r w:rsidR="009A42EB">
              <w:rPr>
                <w:noProof/>
                <w:webHidden/>
              </w:rPr>
              <w:t>39</w:t>
            </w:r>
            <w:r w:rsidR="00D02973">
              <w:rPr>
                <w:noProof/>
                <w:webHidden/>
              </w:rPr>
              <w:fldChar w:fldCharType="end"/>
            </w:r>
          </w:hyperlink>
        </w:p>
        <w:p w:rsidR="00D02973" w:rsidRDefault="000702B7" w:rsidP="00D02973">
          <w:pPr>
            <w:pStyle w:val="TOC3"/>
            <w:tabs>
              <w:tab w:val="left" w:pos="1200"/>
              <w:tab w:val="right" w:leader="dot" w:pos="9017"/>
            </w:tabs>
            <w:rPr>
              <w:rFonts w:eastAsiaTheme="minorEastAsia"/>
              <w:noProof/>
              <w:lang w:eastAsia="en-AU"/>
            </w:rPr>
          </w:pPr>
          <w:hyperlink w:anchor="_Toc448475206" w:history="1">
            <w:r w:rsidR="00D02973" w:rsidRPr="004B76D5">
              <w:rPr>
                <w:rStyle w:val="Hyperlink"/>
                <w:noProof/>
              </w:rPr>
              <w:t>4.7.2</w:t>
            </w:r>
            <w:r w:rsidR="00D02973">
              <w:rPr>
                <w:rFonts w:eastAsiaTheme="minorEastAsia"/>
                <w:noProof/>
                <w:lang w:eastAsia="en-AU"/>
              </w:rPr>
              <w:tab/>
            </w:r>
            <w:r w:rsidR="00D02973" w:rsidRPr="004B76D5">
              <w:rPr>
                <w:rStyle w:val="Hyperlink"/>
                <w:noProof/>
              </w:rPr>
              <w:t>Renewal Strategy</w:t>
            </w:r>
            <w:r w:rsidR="00D02973">
              <w:rPr>
                <w:noProof/>
                <w:webHidden/>
              </w:rPr>
              <w:tab/>
            </w:r>
            <w:r w:rsidR="00D02973">
              <w:rPr>
                <w:noProof/>
                <w:webHidden/>
              </w:rPr>
              <w:fldChar w:fldCharType="begin"/>
            </w:r>
            <w:r w:rsidR="00D02973">
              <w:rPr>
                <w:noProof/>
                <w:webHidden/>
              </w:rPr>
              <w:instrText xml:space="preserve"> PAGEREF _Toc448475206 \h </w:instrText>
            </w:r>
            <w:r w:rsidR="00D02973">
              <w:rPr>
                <w:noProof/>
                <w:webHidden/>
              </w:rPr>
            </w:r>
            <w:r w:rsidR="00D02973">
              <w:rPr>
                <w:noProof/>
                <w:webHidden/>
              </w:rPr>
              <w:fldChar w:fldCharType="separate"/>
            </w:r>
            <w:r w:rsidR="009A42EB">
              <w:rPr>
                <w:noProof/>
                <w:webHidden/>
              </w:rPr>
              <w:t>39</w:t>
            </w:r>
            <w:r w:rsidR="00D02973">
              <w:rPr>
                <w:noProof/>
                <w:webHidden/>
              </w:rPr>
              <w:fldChar w:fldCharType="end"/>
            </w:r>
          </w:hyperlink>
        </w:p>
        <w:p w:rsidR="00D02973" w:rsidRDefault="000702B7" w:rsidP="00D02973">
          <w:pPr>
            <w:pStyle w:val="TOC3"/>
            <w:tabs>
              <w:tab w:val="left" w:pos="1200"/>
              <w:tab w:val="right" w:leader="dot" w:pos="9017"/>
            </w:tabs>
            <w:rPr>
              <w:rFonts w:eastAsiaTheme="minorEastAsia"/>
              <w:noProof/>
              <w:lang w:eastAsia="en-AU"/>
            </w:rPr>
          </w:pPr>
          <w:hyperlink w:anchor="_Toc448475207" w:history="1">
            <w:r w:rsidR="00D02973" w:rsidRPr="004B76D5">
              <w:rPr>
                <w:rStyle w:val="Hyperlink"/>
                <w:noProof/>
              </w:rPr>
              <w:t>4.7.3</w:t>
            </w:r>
            <w:r w:rsidR="00D02973">
              <w:rPr>
                <w:rFonts w:eastAsiaTheme="minorEastAsia"/>
                <w:noProof/>
                <w:lang w:eastAsia="en-AU"/>
              </w:rPr>
              <w:tab/>
            </w:r>
            <w:r w:rsidR="00D02973" w:rsidRPr="004B76D5">
              <w:rPr>
                <w:rStyle w:val="Hyperlink"/>
                <w:noProof/>
              </w:rPr>
              <w:t>New and Upgraded Asset Requirements</w:t>
            </w:r>
            <w:r w:rsidR="00D02973">
              <w:rPr>
                <w:noProof/>
                <w:webHidden/>
              </w:rPr>
              <w:tab/>
            </w:r>
            <w:r w:rsidR="00D02973">
              <w:rPr>
                <w:noProof/>
                <w:webHidden/>
              </w:rPr>
              <w:fldChar w:fldCharType="begin"/>
            </w:r>
            <w:r w:rsidR="00D02973">
              <w:rPr>
                <w:noProof/>
                <w:webHidden/>
              </w:rPr>
              <w:instrText xml:space="preserve"> PAGEREF _Toc448475207 \h </w:instrText>
            </w:r>
            <w:r w:rsidR="00D02973">
              <w:rPr>
                <w:noProof/>
                <w:webHidden/>
              </w:rPr>
            </w:r>
            <w:r w:rsidR="00D02973">
              <w:rPr>
                <w:noProof/>
                <w:webHidden/>
              </w:rPr>
              <w:fldChar w:fldCharType="separate"/>
            </w:r>
            <w:r w:rsidR="009A42EB">
              <w:rPr>
                <w:noProof/>
                <w:webHidden/>
              </w:rPr>
              <w:t>39</w:t>
            </w:r>
            <w:r w:rsidR="00D02973">
              <w:rPr>
                <w:noProof/>
                <w:webHidden/>
              </w:rPr>
              <w:fldChar w:fldCharType="end"/>
            </w:r>
          </w:hyperlink>
        </w:p>
        <w:p w:rsidR="00D02973" w:rsidRDefault="000702B7" w:rsidP="00D02973">
          <w:pPr>
            <w:pStyle w:val="TOC3"/>
            <w:tabs>
              <w:tab w:val="left" w:pos="1200"/>
              <w:tab w:val="right" w:leader="dot" w:pos="9017"/>
            </w:tabs>
            <w:rPr>
              <w:rFonts w:eastAsiaTheme="minorEastAsia"/>
              <w:noProof/>
              <w:lang w:eastAsia="en-AU"/>
            </w:rPr>
          </w:pPr>
          <w:hyperlink w:anchor="_Toc448475208" w:history="1">
            <w:r w:rsidR="00D02973" w:rsidRPr="004B76D5">
              <w:rPr>
                <w:rStyle w:val="Hyperlink"/>
                <w:noProof/>
              </w:rPr>
              <w:t>4.7.4</w:t>
            </w:r>
            <w:r w:rsidR="00D02973">
              <w:rPr>
                <w:rFonts w:eastAsiaTheme="minorEastAsia"/>
                <w:noProof/>
                <w:lang w:eastAsia="en-AU"/>
              </w:rPr>
              <w:tab/>
            </w:r>
            <w:r w:rsidR="00D02973" w:rsidRPr="004B76D5">
              <w:rPr>
                <w:rStyle w:val="Hyperlink"/>
                <w:noProof/>
              </w:rPr>
              <w:t>Asset Upgrade Strategies</w:t>
            </w:r>
            <w:r w:rsidR="00D02973">
              <w:rPr>
                <w:noProof/>
                <w:webHidden/>
              </w:rPr>
              <w:tab/>
            </w:r>
            <w:r w:rsidR="00D02973">
              <w:rPr>
                <w:noProof/>
                <w:webHidden/>
              </w:rPr>
              <w:fldChar w:fldCharType="begin"/>
            </w:r>
            <w:r w:rsidR="00D02973">
              <w:rPr>
                <w:noProof/>
                <w:webHidden/>
              </w:rPr>
              <w:instrText xml:space="preserve"> PAGEREF _Toc448475208 \h </w:instrText>
            </w:r>
            <w:r w:rsidR="00D02973">
              <w:rPr>
                <w:noProof/>
                <w:webHidden/>
              </w:rPr>
            </w:r>
            <w:r w:rsidR="00D02973">
              <w:rPr>
                <w:noProof/>
                <w:webHidden/>
              </w:rPr>
              <w:fldChar w:fldCharType="separate"/>
            </w:r>
            <w:r w:rsidR="009A42EB">
              <w:rPr>
                <w:noProof/>
                <w:webHidden/>
              </w:rPr>
              <w:t>40</w:t>
            </w:r>
            <w:r w:rsidR="00D02973">
              <w:rPr>
                <w:noProof/>
                <w:webHidden/>
              </w:rPr>
              <w:fldChar w:fldCharType="end"/>
            </w:r>
          </w:hyperlink>
        </w:p>
        <w:p w:rsidR="00D02973" w:rsidRDefault="000702B7" w:rsidP="00D02973">
          <w:pPr>
            <w:pStyle w:val="TOC3"/>
            <w:tabs>
              <w:tab w:val="left" w:pos="1200"/>
              <w:tab w:val="right" w:leader="dot" w:pos="9017"/>
            </w:tabs>
            <w:rPr>
              <w:rFonts w:eastAsiaTheme="minorEastAsia"/>
              <w:noProof/>
              <w:lang w:eastAsia="en-AU"/>
            </w:rPr>
          </w:pPr>
          <w:hyperlink w:anchor="_Toc448475209" w:history="1">
            <w:r w:rsidR="00D02973" w:rsidRPr="004B76D5">
              <w:rPr>
                <w:rStyle w:val="Hyperlink"/>
                <w:noProof/>
              </w:rPr>
              <w:t>4.7.5</w:t>
            </w:r>
            <w:r w:rsidR="00D02973">
              <w:rPr>
                <w:rFonts w:eastAsiaTheme="minorEastAsia"/>
                <w:noProof/>
                <w:lang w:eastAsia="en-AU"/>
              </w:rPr>
              <w:tab/>
            </w:r>
            <w:r w:rsidR="00D02973" w:rsidRPr="004B76D5">
              <w:rPr>
                <w:rStyle w:val="Hyperlink"/>
                <w:noProof/>
              </w:rPr>
              <w:t>Strategic Service Reviews</w:t>
            </w:r>
            <w:r w:rsidR="00D02973">
              <w:rPr>
                <w:noProof/>
                <w:webHidden/>
              </w:rPr>
              <w:tab/>
            </w:r>
            <w:r w:rsidR="00D02973">
              <w:rPr>
                <w:noProof/>
                <w:webHidden/>
              </w:rPr>
              <w:fldChar w:fldCharType="begin"/>
            </w:r>
            <w:r w:rsidR="00D02973">
              <w:rPr>
                <w:noProof/>
                <w:webHidden/>
              </w:rPr>
              <w:instrText xml:space="preserve"> PAGEREF _Toc448475209 \h </w:instrText>
            </w:r>
            <w:r w:rsidR="00D02973">
              <w:rPr>
                <w:noProof/>
                <w:webHidden/>
              </w:rPr>
            </w:r>
            <w:r w:rsidR="00D02973">
              <w:rPr>
                <w:noProof/>
                <w:webHidden/>
              </w:rPr>
              <w:fldChar w:fldCharType="separate"/>
            </w:r>
            <w:r w:rsidR="009A42EB">
              <w:rPr>
                <w:noProof/>
                <w:webHidden/>
              </w:rPr>
              <w:t>44</w:t>
            </w:r>
            <w:r w:rsidR="00D02973">
              <w:rPr>
                <w:noProof/>
                <w:webHidden/>
              </w:rPr>
              <w:fldChar w:fldCharType="end"/>
            </w:r>
          </w:hyperlink>
        </w:p>
        <w:p w:rsidR="00D02973" w:rsidRDefault="000702B7" w:rsidP="00D02973">
          <w:pPr>
            <w:pStyle w:val="TOC3"/>
            <w:tabs>
              <w:tab w:val="left" w:pos="1200"/>
              <w:tab w:val="right" w:leader="dot" w:pos="9017"/>
            </w:tabs>
            <w:rPr>
              <w:rFonts w:eastAsiaTheme="minorEastAsia"/>
              <w:noProof/>
              <w:lang w:eastAsia="en-AU"/>
            </w:rPr>
          </w:pPr>
          <w:hyperlink w:anchor="_Toc448475210" w:history="1">
            <w:r w:rsidR="00D02973" w:rsidRPr="004B76D5">
              <w:rPr>
                <w:rStyle w:val="Hyperlink"/>
                <w:noProof/>
              </w:rPr>
              <w:t xml:space="preserve">4.7.6 </w:t>
            </w:r>
            <w:r w:rsidR="00D02973">
              <w:rPr>
                <w:rFonts w:eastAsiaTheme="minorEastAsia"/>
                <w:noProof/>
                <w:lang w:eastAsia="en-AU"/>
              </w:rPr>
              <w:tab/>
            </w:r>
            <w:r w:rsidR="00D02973" w:rsidRPr="004B76D5">
              <w:rPr>
                <w:rStyle w:val="Hyperlink"/>
                <w:noProof/>
              </w:rPr>
              <w:t>Asset Disposal Plan</w:t>
            </w:r>
            <w:r w:rsidR="00D02973">
              <w:rPr>
                <w:noProof/>
                <w:webHidden/>
              </w:rPr>
              <w:tab/>
            </w:r>
            <w:r w:rsidR="00D02973">
              <w:rPr>
                <w:noProof/>
                <w:webHidden/>
              </w:rPr>
              <w:fldChar w:fldCharType="begin"/>
            </w:r>
            <w:r w:rsidR="00D02973">
              <w:rPr>
                <w:noProof/>
                <w:webHidden/>
              </w:rPr>
              <w:instrText xml:space="preserve"> PAGEREF _Toc448475210 \h </w:instrText>
            </w:r>
            <w:r w:rsidR="00D02973">
              <w:rPr>
                <w:noProof/>
                <w:webHidden/>
              </w:rPr>
            </w:r>
            <w:r w:rsidR="00D02973">
              <w:rPr>
                <w:noProof/>
                <w:webHidden/>
              </w:rPr>
              <w:fldChar w:fldCharType="separate"/>
            </w:r>
            <w:r w:rsidR="009A42EB">
              <w:rPr>
                <w:noProof/>
                <w:webHidden/>
              </w:rPr>
              <w:t>44</w:t>
            </w:r>
            <w:r w:rsidR="00D02973">
              <w:rPr>
                <w:noProof/>
                <w:webHidden/>
              </w:rPr>
              <w:fldChar w:fldCharType="end"/>
            </w:r>
          </w:hyperlink>
        </w:p>
        <w:p w:rsidR="00D02973" w:rsidRDefault="000702B7" w:rsidP="00D02973">
          <w:pPr>
            <w:pStyle w:val="TOC2"/>
            <w:tabs>
              <w:tab w:val="left" w:pos="720"/>
              <w:tab w:val="right" w:leader="dot" w:pos="9017"/>
            </w:tabs>
            <w:rPr>
              <w:rFonts w:eastAsiaTheme="minorEastAsia"/>
              <w:noProof/>
              <w:lang w:eastAsia="en-AU"/>
            </w:rPr>
          </w:pPr>
          <w:hyperlink w:anchor="_Toc448475211" w:history="1">
            <w:r w:rsidR="00D02973" w:rsidRPr="004B76D5">
              <w:rPr>
                <w:rStyle w:val="Hyperlink"/>
                <w:noProof/>
              </w:rPr>
              <w:t>4.8</w:t>
            </w:r>
            <w:r w:rsidR="00D02973">
              <w:rPr>
                <w:rFonts w:eastAsiaTheme="minorEastAsia"/>
                <w:noProof/>
                <w:lang w:eastAsia="en-AU"/>
              </w:rPr>
              <w:tab/>
            </w:r>
            <w:r w:rsidR="00D02973" w:rsidRPr="004B76D5">
              <w:rPr>
                <w:rStyle w:val="Hyperlink"/>
                <w:noProof/>
              </w:rPr>
              <w:t>Recreation and Open Space Ownership Obligations</w:t>
            </w:r>
            <w:r w:rsidR="00D02973">
              <w:rPr>
                <w:noProof/>
                <w:webHidden/>
              </w:rPr>
              <w:tab/>
            </w:r>
            <w:r w:rsidR="00D02973">
              <w:rPr>
                <w:noProof/>
                <w:webHidden/>
              </w:rPr>
              <w:fldChar w:fldCharType="begin"/>
            </w:r>
            <w:r w:rsidR="00D02973">
              <w:rPr>
                <w:noProof/>
                <w:webHidden/>
              </w:rPr>
              <w:instrText xml:space="preserve"> PAGEREF _Toc448475211 \h </w:instrText>
            </w:r>
            <w:r w:rsidR="00D02973">
              <w:rPr>
                <w:noProof/>
                <w:webHidden/>
              </w:rPr>
            </w:r>
            <w:r w:rsidR="00D02973">
              <w:rPr>
                <w:noProof/>
                <w:webHidden/>
              </w:rPr>
              <w:fldChar w:fldCharType="separate"/>
            </w:r>
            <w:r w:rsidR="009A42EB">
              <w:rPr>
                <w:noProof/>
                <w:webHidden/>
              </w:rPr>
              <w:t>45</w:t>
            </w:r>
            <w:r w:rsidR="00D02973">
              <w:rPr>
                <w:noProof/>
                <w:webHidden/>
              </w:rPr>
              <w:fldChar w:fldCharType="end"/>
            </w:r>
          </w:hyperlink>
        </w:p>
        <w:p w:rsidR="00D02973" w:rsidRDefault="000702B7" w:rsidP="00D02973">
          <w:pPr>
            <w:pStyle w:val="TOC3"/>
            <w:tabs>
              <w:tab w:val="left" w:pos="1200"/>
              <w:tab w:val="right" w:leader="dot" w:pos="9017"/>
            </w:tabs>
            <w:rPr>
              <w:rFonts w:eastAsiaTheme="minorEastAsia"/>
              <w:noProof/>
              <w:lang w:eastAsia="en-AU"/>
            </w:rPr>
          </w:pPr>
          <w:hyperlink w:anchor="_Toc448475212" w:history="1">
            <w:r w:rsidR="00D02973" w:rsidRPr="004B76D5">
              <w:rPr>
                <w:rStyle w:val="Hyperlink"/>
                <w:noProof/>
              </w:rPr>
              <w:t xml:space="preserve">4.8.1 </w:t>
            </w:r>
            <w:r w:rsidR="00D02973">
              <w:rPr>
                <w:rFonts w:eastAsiaTheme="minorEastAsia"/>
                <w:noProof/>
                <w:lang w:eastAsia="en-AU"/>
              </w:rPr>
              <w:tab/>
            </w:r>
            <w:r w:rsidR="00D02973" w:rsidRPr="004B76D5">
              <w:rPr>
                <w:rStyle w:val="Hyperlink"/>
                <w:noProof/>
              </w:rPr>
              <w:t>Council Owned Recreation and Open Space</w:t>
            </w:r>
            <w:r w:rsidR="00D02973">
              <w:rPr>
                <w:noProof/>
                <w:webHidden/>
              </w:rPr>
              <w:tab/>
            </w:r>
            <w:r w:rsidR="00D02973">
              <w:rPr>
                <w:noProof/>
                <w:webHidden/>
              </w:rPr>
              <w:fldChar w:fldCharType="begin"/>
            </w:r>
            <w:r w:rsidR="00D02973">
              <w:rPr>
                <w:noProof/>
                <w:webHidden/>
              </w:rPr>
              <w:instrText xml:space="preserve"> PAGEREF _Toc448475212 \h </w:instrText>
            </w:r>
            <w:r w:rsidR="00D02973">
              <w:rPr>
                <w:noProof/>
                <w:webHidden/>
              </w:rPr>
            </w:r>
            <w:r w:rsidR="00D02973">
              <w:rPr>
                <w:noProof/>
                <w:webHidden/>
              </w:rPr>
              <w:fldChar w:fldCharType="separate"/>
            </w:r>
            <w:r w:rsidR="009A42EB">
              <w:rPr>
                <w:noProof/>
                <w:webHidden/>
              </w:rPr>
              <w:t>45</w:t>
            </w:r>
            <w:r w:rsidR="00D02973">
              <w:rPr>
                <w:noProof/>
                <w:webHidden/>
              </w:rPr>
              <w:fldChar w:fldCharType="end"/>
            </w:r>
          </w:hyperlink>
        </w:p>
        <w:p w:rsidR="00D02973" w:rsidRDefault="000702B7" w:rsidP="00D02973">
          <w:pPr>
            <w:pStyle w:val="TOC3"/>
            <w:tabs>
              <w:tab w:val="left" w:pos="1200"/>
              <w:tab w:val="right" w:leader="dot" w:pos="9017"/>
            </w:tabs>
            <w:rPr>
              <w:rFonts w:eastAsiaTheme="minorEastAsia"/>
              <w:noProof/>
              <w:lang w:eastAsia="en-AU"/>
            </w:rPr>
          </w:pPr>
          <w:hyperlink w:anchor="_Toc448475213" w:history="1">
            <w:r w:rsidR="00D02973" w:rsidRPr="004B76D5">
              <w:rPr>
                <w:rStyle w:val="Hyperlink"/>
                <w:noProof/>
              </w:rPr>
              <w:t xml:space="preserve">4.8.2 </w:t>
            </w:r>
            <w:r w:rsidR="00D02973">
              <w:rPr>
                <w:rFonts w:eastAsiaTheme="minorEastAsia"/>
                <w:noProof/>
                <w:lang w:eastAsia="en-AU"/>
              </w:rPr>
              <w:tab/>
            </w:r>
            <w:r w:rsidR="00D02973" w:rsidRPr="004B76D5">
              <w:rPr>
                <w:rStyle w:val="Hyperlink"/>
                <w:noProof/>
              </w:rPr>
              <w:t>Government Recreation and Open Space Managed by Council</w:t>
            </w:r>
            <w:r w:rsidR="00D02973">
              <w:rPr>
                <w:noProof/>
                <w:webHidden/>
              </w:rPr>
              <w:tab/>
            </w:r>
            <w:r w:rsidR="00D02973">
              <w:rPr>
                <w:noProof/>
                <w:webHidden/>
              </w:rPr>
              <w:fldChar w:fldCharType="begin"/>
            </w:r>
            <w:r w:rsidR="00D02973">
              <w:rPr>
                <w:noProof/>
                <w:webHidden/>
              </w:rPr>
              <w:instrText xml:space="preserve"> PAGEREF _Toc448475213 \h </w:instrText>
            </w:r>
            <w:r w:rsidR="00D02973">
              <w:rPr>
                <w:noProof/>
                <w:webHidden/>
              </w:rPr>
            </w:r>
            <w:r w:rsidR="00D02973">
              <w:rPr>
                <w:noProof/>
                <w:webHidden/>
              </w:rPr>
              <w:fldChar w:fldCharType="separate"/>
            </w:r>
            <w:r w:rsidR="009A42EB">
              <w:rPr>
                <w:noProof/>
                <w:webHidden/>
              </w:rPr>
              <w:t>45</w:t>
            </w:r>
            <w:r w:rsidR="00D02973">
              <w:rPr>
                <w:noProof/>
                <w:webHidden/>
              </w:rPr>
              <w:fldChar w:fldCharType="end"/>
            </w:r>
          </w:hyperlink>
        </w:p>
        <w:p w:rsidR="00D02973" w:rsidRDefault="000702B7" w:rsidP="00D02973">
          <w:pPr>
            <w:pStyle w:val="TOC3"/>
            <w:tabs>
              <w:tab w:val="left" w:pos="1200"/>
              <w:tab w:val="right" w:leader="dot" w:pos="9017"/>
            </w:tabs>
            <w:rPr>
              <w:rFonts w:eastAsiaTheme="minorEastAsia"/>
              <w:noProof/>
              <w:lang w:eastAsia="en-AU"/>
            </w:rPr>
          </w:pPr>
          <w:hyperlink w:anchor="_Toc448475214" w:history="1">
            <w:r w:rsidR="00D02973" w:rsidRPr="004B76D5">
              <w:rPr>
                <w:rStyle w:val="Hyperlink"/>
                <w:noProof/>
              </w:rPr>
              <w:t>4.8.3</w:t>
            </w:r>
            <w:r w:rsidR="00D02973">
              <w:rPr>
                <w:rFonts w:eastAsiaTheme="minorEastAsia"/>
                <w:noProof/>
                <w:lang w:eastAsia="en-AU"/>
              </w:rPr>
              <w:tab/>
            </w:r>
            <w:r w:rsidR="00D02973" w:rsidRPr="004B76D5">
              <w:rPr>
                <w:rStyle w:val="Hyperlink"/>
                <w:noProof/>
              </w:rPr>
              <w:t>Commercially leased or licensed for use by a Community Group</w:t>
            </w:r>
            <w:r w:rsidR="00D02973">
              <w:rPr>
                <w:noProof/>
                <w:webHidden/>
              </w:rPr>
              <w:tab/>
            </w:r>
            <w:r w:rsidR="00D02973">
              <w:rPr>
                <w:noProof/>
                <w:webHidden/>
              </w:rPr>
              <w:fldChar w:fldCharType="begin"/>
            </w:r>
            <w:r w:rsidR="00D02973">
              <w:rPr>
                <w:noProof/>
                <w:webHidden/>
              </w:rPr>
              <w:instrText xml:space="preserve"> PAGEREF _Toc448475214 \h </w:instrText>
            </w:r>
            <w:r w:rsidR="00D02973">
              <w:rPr>
                <w:noProof/>
                <w:webHidden/>
              </w:rPr>
            </w:r>
            <w:r w:rsidR="00D02973">
              <w:rPr>
                <w:noProof/>
                <w:webHidden/>
              </w:rPr>
              <w:fldChar w:fldCharType="separate"/>
            </w:r>
            <w:r w:rsidR="009A42EB">
              <w:rPr>
                <w:noProof/>
                <w:webHidden/>
              </w:rPr>
              <w:t>46</w:t>
            </w:r>
            <w:r w:rsidR="00D02973">
              <w:rPr>
                <w:noProof/>
                <w:webHidden/>
              </w:rPr>
              <w:fldChar w:fldCharType="end"/>
            </w:r>
          </w:hyperlink>
        </w:p>
        <w:p w:rsidR="00D02973" w:rsidRDefault="000702B7" w:rsidP="00D02973">
          <w:pPr>
            <w:pStyle w:val="TOC3"/>
            <w:tabs>
              <w:tab w:val="left" w:pos="1200"/>
              <w:tab w:val="right" w:leader="dot" w:pos="9017"/>
            </w:tabs>
            <w:rPr>
              <w:rFonts w:eastAsiaTheme="minorEastAsia"/>
              <w:noProof/>
              <w:lang w:eastAsia="en-AU"/>
            </w:rPr>
          </w:pPr>
          <w:hyperlink w:anchor="_Toc448475215" w:history="1">
            <w:r w:rsidR="00D02973" w:rsidRPr="004B76D5">
              <w:rPr>
                <w:rStyle w:val="Hyperlink"/>
                <w:noProof/>
              </w:rPr>
              <w:t xml:space="preserve">4.8.4 </w:t>
            </w:r>
            <w:r w:rsidR="00D02973">
              <w:rPr>
                <w:rFonts w:eastAsiaTheme="minorEastAsia"/>
                <w:noProof/>
                <w:lang w:eastAsia="en-AU"/>
              </w:rPr>
              <w:tab/>
            </w:r>
            <w:r w:rsidR="00D02973" w:rsidRPr="004B76D5">
              <w:rPr>
                <w:rStyle w:val="Hyperlink"/>
                <w:noProof/>
              </w:rPr>
              <w:t>Community Usage Agreements</w:t>
            </w:r>
            <w:r w:rsidR="00D02973">
              <w:rPr>
                <w:noProof/>
                <w:webHidden/>
              </w:rPr>
              <w:tab/>
            </w:r>
            <w:r w:rsidR="00D02973">
              <w:rPr>
                <w:noProof/>
                <w:webHidden/>
              </w:rPr>
              <w:fldChar w:fldCharType="begin"/>
            </w:r>
            <w:r w:rsidR="00D02973">
              <w:rPr>
                <w:noProof/>
                <w:webHidden/>
              </w:rPr>
              <w:instrText xml:space="preserve"> PAGEREF _Toc448475215 \h </w:instrText>
            </w:r>
            <w:r w:rsidR="00D02973">
              <w:rPr>
                <w:noProof/>
                <w:webHidden/>
              </w:rPr>
            </w:r>
            <w:r w:rsidR="00D02973">
              <w:rPr>
                <w:noProof/>
                <w:webHidden/>
              </w:rPr>
              <w:fldChar w:fldCharType="separate"/>
            </w:r>
            <w:r w:rsidR="009A42EB">
              <w:rPr>
                <w:noProof/>
                <w:webHidden/>
              </w:rPr>
              <w:t>46</w:t>
            </w:r>
            <w:r w:rsidR="00D02973">
              <w:rPr>
                <w:noProof/>
                <w:webHidden/>
              </w:rPr>
              <w:fldChar w:fldCharType="end"/>
            </w:r>
          </w:hyperlink>
        </w:p>
        <w:p w:rsidR="00D02973" w:rsidRDefault="000702B7" w:rsidP="00D02973">
          <w:pPr>
            <w:pStyle w:val="TOC1"/>
            <w:tabs>
              <w:tab w:val="left" w:pos="720"/>
              <w:tab w:val="right" w:leader="dot" w:pos="9017"/>
            </w:tabs>
            <w:rPr>
              <w:rFonts w:eastAsiaTheme="minorEastAsia"/>
              <w:noProof/>
              <w:lang w:eastAsia="en-AU"/>
            </w:rPr>
          </w:pPr>
          <w:hyperlink w:anchor="_Toc448475216" w:history="1">
            <w:r w:rsidR="00D02973" w:rsidRPr="004B76D5">
              <w:rPr>
                <w:rStyle w:val="Hyperlink"/>
                <w:noProof/>
              </w:rPr>
              <w:t xml:space="preserve">5.0 </w:t>
            </w:r>
            <w:r w:rsidR="00D02973">
              <w:rPr>
                <w:rFonts w:eastAsiaTheme="minorEastAsia"/>
                <w:noProof/>
                <w:lang w:eastAsia="en-AU"/>
              </w:rPr>
              <w:tab/>
            </w:r>
            <w:r w:rsidR="00D02973" w:rsidRPr="004B76D5">
              <w:rPr>
                <w:rStyle w:val="Hyperlink"/>
                <w:noProof/>
              </w:rPr>
              <w:t>Strategic Financial Management</w:t>
            </w:r>
            <w:r w:rsidR="00D02973">
              <w:rPr>
                <w:noProof/>
                <w:webHidden/>
              </w:rPr>
              <w:tab/>
            </w:r>
            <w:r w:rsidR="00D02973">
              <w:rPr>
                <w:noProof/>
                <w:webHidden/>
              </w:rPr>
              <w:fldChar w:fldCharType="begin"/>
            </w:r>
            <w:r w:rsidR="00D02973">
              <w:rPr>
                <w:noProof/>
                <w:webHidden/>
              </w:rPr>
              <w:instrText xml:space="preserve"> PAGEREF _Toc448475216 \h </w:instrText>
            </w:r>
            <w:r w:rsidR="00D02973">
              <w:rPr>
                <w:noProof/>
                <w:webHidden/>
              </w:rPr>
            </w:r>
            <w:r w:rsidR="00D02973">
              <w:rPr>
                <w:noProof/>
                <w:webHidden/>
              </w:rPr>
              <w:fldChar w:fldCharType="separate"/>
            </w:r>
            <w:r w:rsidR="009A42EB">
              <w:rPr>
                <w:noProof/>
                <w:webHidden/>
              </w:rPr>
              <w:t>46</w:t>
            </w:r>
            <w:r w:rsidR="00D02973">
              <w:rPr>
                <w:noProof/>
                <w:webHidden/>
              </w:rPr>
              <w:fldChar w:fldCharType="end"/>
            </w:r>
          </w:hyperlink>
        </w:p>
        <w:p w:rsidR="00D02973" w:rsidRDefault="000702B7" w:rsidP="00D02973">
          <w:pPr>
            <w:pStyle w:val="TOC2"/>
            <w:tabs>
              <w:tab w:val="left" w:pos="720"/>
              <w:tab w:val="right" w:leader="dot" w:pos="9017"/>
            </w:tabs>
            <w:rPr>
              <w:rFonts w:eastAsiaTheme="minorEastAsia"/>
              <w:noProof/>
              <w:lang w:eastAsia="en-AU"/>
            </w:rPr>
          </w:pPr>
          <w:hyperlink w:anchor="_Toc448475217" w:history="1">
            <w:r w:rsidR="00D02973" w:rsidRPr="004B76D5">
              <w:rPr>
                <w:rStyle w:val="Hyperlink"/>
                <w:noProof/>
              </w:rPr>
              <w:t>5.1</w:t>
            </w:r>
            <w:r w:rsidR="00D02973">
              <w:rPr>
                <w:rFonts w:eastAsiaTheme="minorEastAsia"/>
                <w:noProof/>
                <w:lang w:eastAsia="en-AU"/>
              </w:rPr>
              <w:tab/>
            </w:r>
            <w:r w:rsidR="00D02973" w:rsidRPr="004B76D5">
              <w:rPr>
                <w:rStyle w:val="Hyperlink"/>
                <w:noProof/>
              </w:rPr>
              <w:t>Current Financial Position</w:t>
            </w:r>
            <w:r w:rsidR="00D02973">
              <w:rPr>
                <w:noProof/>
                <w:webHidden/>
              </w:rPr>
              <w:tab/>
            </w:r>
            <w:r w:rsidR="00D02973">
              <w:rPr>
                <w:noProof/>
                <w:webHidden/>
              </w:rPr>
              <w:fldChar w:fldCharType="begin"/>
            </w:r>
            <w:r w:rsidR="00D02973">
              <w:rPr>
                <w:noProof/>
                <w:webHidden/>
              </w:rPr>
              <w:instrText xml:space="preserve"> PAGEREF _Toc448475217 \h </w:instrText>
            </w:r>
            <w:r w:rsidR="00D02973">
              <w:rPr>
                <w:noProof/>
                <w:webHidden/>
              </w:rPr>
            </w:r>
            <w:r w:rsidR="00D02973">
              <w:rPr>
                <w:noProof/>
                <w:webHidden/>
              </w:rPr>
              <w:fldChar w:fldCharType="separate"/>
            </w:r>
            <w:r w:rsidR="009A42EB">
              <w:rPr>
                <w:noProof/>
                <w:webHidden/>
              </w:rPr>
              <w:t>46</w:t>
            </w:r>
            <w:r w:rsidR="00D02973">
              <w:rPr>
                <w:noProof/>
                <w:webHidden/>
              </w:rPr>
              <w:fldChar w:fldCharType="end"/>
            </w:r>
          </w:hyperlink>
        </w:p>
        <w:p w:rsidR="00D02973" w:rsidRDefault="000702B7" w:rsidP="00D02973">
          <w:pPr>
            <w:pStyle w:val="TOC3"/>
            <w:tabs>
              <w:tab w:val="left" w:pos="1200"/>
              <w:tab w:val="right" w:leader="dot" w:pos="9017"/>
            </w:tabs>
            <w:rPr>
              <w:rFonts w:eastAsiaTheme="minorEastAsia"/>
              <w:noProof/>
              <w:lang w:eastAsia="en-AU"/>
            </w:rPr>
          </w:pPr>
          <w:hyperlink w:anchor="_Toc448475218" w:history="1">
            <w:r w:rsidR="00D02973" w:rsidRPr="004B76D5">
              <w:rPr>
                <w:rStyle w:val="Hyperlink"/>
                <w:noProof/>
              </w:rPr>
              <w:t>5.1.1</w:t>
            </w:r>
            <w:r w:rsidR="00D02973">
              <w:rPr>
                <w:rFonts w:eastAsiaTheme="minorEastAsia"/>
                <w:noProof/>
                <w:lang w:eastAsia="en-AU"/>
              </w:rPr>
              <w:tab/>
            </w:r>
            <w:r w:rsidR="00D02973" w:rsidRPr="004B76D5">
              <w:rPr>
                <w:rStyle w:val="Hyperlink"/>
                <w:noProof/>
              </w:rPr>
              <w:t>Maintenance Expenditure</w:t>
            </w:r>
            <w:r w:rsidR="00D02973">
              <w:rPr>
                <w:noProof/>
                <w:webHidden/>
              </w:rPr>
              <w:tab/>
            </w:r>
            <w:r w:rsidR="00D02973">
              <w:rPr>
                <w:noProof/>
                <w:webHidden/>
              </w:rPr>
              <w:fldChar w:fldCharType="begin"/>
            </w:r>
            <w:r w:rsidR="00D02973">
              <w:rPr>
                <w:noProof/>
                <w:webHidden/>
              </w:rPr>
              <w:instrText xml:space="preserve"> PAGEREF _Toc448475218 \h </w:instrText>
            </w:r>
            <w:r w:rsidR="00D02973">
              <w:rPr>
                <w:noProof/>
                <w:webHidden/>
              </w:rPr>
            </w:r>
            <w:r w:rsidR="00D02973">
              <w:rPr>
                <w:noProof/>
                <w:webHidden/>
              </w:rPr>
              <w:fldChar w:fldCharType="separate"/>
            </w:r>
            <w:r w:rsidR="009A42EB">
              <w:rPr>
                <w:noProof/>
                <w:webHidden/>
              </w:rPr>
              <w:t>47</w:t>
            </w:r>
            <w:r w:rsidR="00D02973">
              <w:rPr>
                <w:noProof/>
                <w:webHidden/>
              </w:rPr>
              <w:fldChar w:fldCharType="end"/>
            </w:r>
          </w:hyperlink>
        </w:p>
        <w:p w:rsidR="00D02973" w:rsidRDefault="000702B7" w:rsidP="00D02973">
          <w:pPr>
            <w:pStyle w:val="TOC3"/>
            <w:tabs>
              <w:tab w:val="left" w:pos="1200"/>
              <w:tab w:val="right" w:leader="dot" w:pos="9017"/>
            </w:tabs>
            <w:rPr>
              <w:rFonts w:eastAsiaTheme="minorEastAsia"/>
              <w:noProof/>
              <w:lang w:eastAsia="en-AU"/>
            </w:rPr>
          </w:pPr>
          <w:hyperlink w:anchor="_Toc448475219" w:history="1">
            <w:r w:rsidR="00D02973" w:rsidRPr="004B76D5">
              <w:rPr>
                <w:rStyle w:val="Hyperlink"/>
                <w:noProof/>
              </w:rPr>
              <w:t xml:space="preserve">5.1.2 </w:t>
            </w:r>
            <w:r w:rsidR="00D02973">
              <w:rPr>
                <w:rFonts w:eastAsiaTheme="minorEastAsia"/>
                <w:noProof/>
                <w:lang w:eastAsia="en-AU"/>
              </w:rPr>
              <w:tab/>
            </w:r>
            <w:r w:rsidR="00D02973" w:rsidRPr="004B76D5">
              <w:rPr>
                <w:rStyle w:val="Hyperlink"/>
                <w:noProof/>
              </w:rPr>
              <w:t>Capital Expenditure</w:t>
            </w:r>
            <w:r w:rsidR="00D02973">
              <w:rPr>
                <w:noProof/>
                <w:webHidden/>
              </w:rPr>
              <w:tab/>
            </w:r>
            <w:r w:rsidR="00D02973">
              <w:rPr>
                <w:noProof/>
                <w:webHidden/>
              </w:rPr>
              <w:fldChar w:fldCharType="begin"/>
            </w:r>
            <w:r w:rsidR="00D02973">
              <w:rPr>
                <w:noProof/>
                <w:webHidden/>
              </w:rPr>
              <w:instrText xml:space="preserve"> PAGEREF _Toc448475219 \h </w:instrText>
            </w:r>
            <w:r w:rsidR="00D02973">
              <w:rPr>
                <w:noProof/>
                <w:webHidden/>
              </w:rPr>
            </w:r>
            <w:r w:rsidR="00D02973">
              <w:rPr>
                <w:noProof/>
                <w:webHidden/>
              </w:rPr>
              <w:fldChar w:fldCharType="separate"/>
            </w:r>
            <w:r w:rsidR="009A42EB">
              <w:rPr>
                <w:noProof/>
                <w:webHidden/>
              </w:rPr>
              <w:t>48</w:t>
            </w:r>
            <w:r w:rsidR="00D02973">
              <w:rPr>
                <w:noProof/>
                <w:webHidden/>
              </w:rPr>
              <w:fldChar w:fldCharType="end"/>
            </w:r>
          </w:hyperlink>
        </w:p>
        <w:p w:rsidR="00D02973" w:rsidRDefault="000702B7" w:rsidP="00D02973">
          <w:pPr>
            <w:pStyle w:val="TOC3"/>
            <w:tabs>
              <w:tab w:val="left" w:pos="1200"/>
              <w:tab w:val="right" w:leader="dot" w:pos="9017"/>
            </w:tabs>
            <w:rPr>
              <w:rFonts w:eastAsiaTheme="minorEastAsia"/>
              <w:noProof/>
              <w:lang w:eastAsia="en-AU"/>
            </w:rPr>
          </w:pPr>
          <w:hyperlink w:anchor="_Toc448475220" w:history="1">
            <w:r w:rsidR="00D02973" w:rsidRPr="004B76D5">
              <w:rPr>
                <w:rStyle w:val="Hyperlink"/>
                <w:noProof/>
              </w:rPr>
              <w:t>5.1.3</w:t>
            </w:r>
            <w:r w:rsidR="00D02973">
              <w:rPr>
                <w:rFonts w:eastAsiaTheme="minorEastAsia"/>
                <w:noProof/>
                <w:lang w:eastAsia="en-AU"/>
              </w:rPr>
              <w:tab/>
            </w:r>
            <w:r w:rsidR="00D02973" w:rsidRPr="004B76D5">
              <w:rPr>
                <w:rStyle w:val="Hyperlink"/>
                <w:noProof/>
              </w:rPr>
              <w:t>Funding Sources</w:t>
            </w:r>
            <w:r w:rsidR="00D02973">
              <w:rPr>
                <w:noProof/>
                <w:webHidden/>
              </w:rPr>
              <w:tab/>
            </w:r>
            <w:r w:rsidR="00D02973">
              <w:rPr>
                <w:noProof/>
                <w:webHidden/>
              </w:rPr>
              <w:fldChar w:fldCharType="begin"/>
            </w:r>
            <w:r w:rsidR="00D02973">
              <w:rPr>
                <w:noProof/>
                <w:webHidden/>
              </w:rPr>
              <w:instrText xml:space="preserve"> PAGEREF _Toc448475220 \h </w:instrText>
            </w:r>
            <w:r w:rsidR="00D02973">
              <w:rPr>
                <w:noProof/>
                <w:webHidden/>
              </w:rPr>
            </w:r>
            <w:r w:rsidR="00D02973">
              <w:rPr>
                <w:noProof/>
                <w:webHidden/>
              </w:rPr>
              <w:fldChar w:fldCharType="separate"/>
            </w:r>
            <w:r w:rsidR="009A42EB">
              <w:rPr>
                <w:noProof/>
                <w:webHidden/>
              </w:rPr>
              <w:t>49</w:t>
            </w:r>
            <w:r w:rsidR="00D02973">
              <w:rPr>
                <w:noProof/>
                <w:webHidden/>
              </w:rPr>
              <w:fldChar w:fldCharType="end"/>
            </w:r>
          </w:hyperlink>
        </w:p>
        <w:p w:rsidR="00D02973" w:rsidRDefault="000702B7" w:rsidP="00D02973">
          <w:pPr>
            <w:pStyle w:val="TOC2"/>
            <w:tabs>
              <w:tab w:val="right" w:leader="dot" w:pos="9017"/>
            </w:tabs>
            <w:rPr>
              <w:rFonts w:eastAsiaTheme="minorEastAsia"/>
              <w:noProof/>
              <w:lang w:eastAsia="en-AU"/>
            </w:rPr>
          </w:pPr>
          <w:hyperlink w:anchor="_Toc448475221" w:history="1">
            <w:r w:rsidR="00D02973" w:rsidRPr="004B76D5">
              <w:rPr>
                <w:rStyle w:val="Hyperlink"/>
                <w:noProof/>
              </w:rPr>
              <w:t>5.2 Renewal Forecasts – Moloney Model Results</w:t>
            </w:r>
            <w:r w:rsidR="00D02973">
              <w:rPr>
                <w:noProof/>
                <w:webHidden/>
              </w:rPr>
              <w:tab/>
            </w:r>
            <w:r w:rsidR="00D02973">
              <w:rPr>
                <w:noProof/>
                <w:webHidden/>
              </w:rPr>
              <w:fldChar w:fldCharType="begin"/>
            </w:r>
            <w:r w:rsidR="00D02973">
              <w:rPr>
                <w:noProof/>
                <w:webHidden/>
              </w:rPr>
              <w:instrText xml:space="preserve"> PAGEREF _Toc448475221 \h </w:instrText>
            </w:r>
            <w:r w:rsidR="00D02973">
              <w:rPr>
                <w:noProof/>
                <w:webHidden/>
              </w:rPr>
            </w:r>
            <w:r w:rsidR="00D02973">
              <w:rPr>
                <w:noProof/>
                <w:webHidden/>
              </w:rPr>
              <w:fldChar w:fldCharType="separate"/>
            </w:r>
            <w:r w:rsidR="009A42EB">
              <w:rPr>
                <w:noProof/>
                <w:webHidden/>
              </w:rPr>
              <w:t>51</w:t>
            </w:r>
            <w:r w:rsidR="00D02973">
              <w:rPr>
                <w:noProof/>
                <w:webHidden/>
              </w:rPr>
              <w:fldChar w:fldCharType="end"/>
            </w:r>
          </w:hyperlink>
        </w:p>
        <w:p w:rsidR="00D02973" w:rsidRDefault="000702B7" w:rsidP="00D02973">
          <w:pPr>
            <w:pStyle w:val="TOC1"/>
            <w:tabs>
              <w:tab w:val="left" w:pos="720"/>
              <w:tab w:val="right" w:leader="dot" w:pos="9017"/>
            </w:tabs>
            <w:rPr>
              <w:rFonts w:eastAsiaTheme="minorEastAsia"/>
              <w:noProof/>
              <w:lang w:eastAsia="en-AU"/>
            </w:rPr>
          </w:pPr>
          <w:hyperlink w:anchor="_Toc448475222" w:history="1">
            <w:r w:rsidR="00D02973" w:rsidRPr="004B76D5">
              <w:rPr>
                <w:rStyle w:val="Hyperlink"/>
                <w:noProof/>
              </w:rPr>
              <w:t xml:space="preserve">6.0 </w:t>
            </w:r>
            <w:r w:rsidR="00D02973">
              <w:rPr>
                <w:rFonts w:eastAsiaTheme="minorEastAsia"/>
                <w:noProof/>
                <w:lang w:eastAsia="en-AU"/>
              </w:rPr>
              <w:tab/>
            </w:r>
            <w:r w:rsidR="00D02973" w:rsidRPr="004B76D5">
              <w:rPr>
                <w:rStyle w:val="Hyperlink"/>
                <w:noProof/>
              </w:rPr>
              <w:t>Inputs to the Recreation and Open Space Financial Forecast</w:t>
            </w:r>
            <w:r w:rsidR="00D02973">
              <w:rPr>
                <w:noProof/>
                <w:webHidden/>
              </w:rPr>
              <w:tab/>
            </w:r>
            <w:r w:rsidR="00D02973">
              <w:rPr>
                <w:noProof/>
                <w:webHidden/>
              </w:rPr>
              <w:fldChar w:fldCharType="begin"/>
            </w:r>
            <w:r w:rsidR="00D02973">
              <w:rPr>
                <w:noProof/>
                <w:webHidden/>
              </w:rPr>
              <w:instrText xml:space="preserve"> PAGEREF _Toc448475222 \h </w:instrText>
            </w:r>
            <w:r w:rsidR="00D02973">
              <w:rPr>
                <w:noProof/>
                <w:webHidden/>
              </w:rPr>
            </w:r>
            <w:r w:rsidR="00D02973">
              <w:rPr>
                <w:noProof/>
                <w:webHidden/>
              </w:rPr>
              <w:fldChar w:fldCharType="separate"/>
            </w:r>
            <w:r w:rsidR="009A42EB">
              <w:rPr>
                <w:noProof/>
                <w:webHidden/>
              </w:rPr>
              <w:t>55</w:t>
            </w:r>
            <w:r w:rsidR="00D02973">
              <w:rPr>
                <w:noProof/>
                <w:webHidden/>
              </w:rPr>
              <w:fldChar w:fldCharType="end"/>
            </w:r>
          </w:hyperlink>
        </w:p>
        <w:p w:rsidR="00D02973" w:rsidRDefault="000702B7" w:rsidP="00D02973">
          <w:pPr>
            <w:pStyle w:val="TOC2"/>
            <w:tabs>
              <w:tab w:val="left" w:pos="720"/>
              <w:tab w:val="right" w:leader="dot" w:pos="9017"/>
            </w:tabs>
            <w:rPr>
              <w:rFonts w:eastAsiaTheme="minorEastAsia"/>
              <w:noProof/>
              <w:lang w:eastAsia="en-AU"/>
            </w:rPr>
          </w:pPr>
          <w:hyperlink w:anchor="_Toc448475223" w:history="1">
            <w:r w:rsidR="00D02973" w:rsidRPr="004B76D5">
              <w:rPr>
                <w:rStyle w:val="Hyperlink"/>
                <w:noProof/>
              </w:rPr>
              <w:t>6.1</w:t>
            </w:r>
            <w:r w:rsidR="00D02973">
              <w:rPr>
                <w:rFonts w:eastAsiaTheme="minorEastAsia"/>
                <w:noProof/>
                <w:lang w:eastAsia="en-AU"/>
              </w:rPr>
              <w:tab/>
            </w:r>
            <w:r w:rsidR="00D02973" w:rsidRPr="004B76D5">
              <w:rPr>
                <w:rStyle w:val="Hyperlink"/>
                <w:noProof/>
              </w:rPr>
              <w:t>Overview</w:t>
            </w:r>
            <w:r w:rsidR="00D02973">
              <w:rPr>
                <w:noProof/>
                <w:webHidden/>
              </w:rPr>
              <w:tab/>
            </w:r>
            <w:r w:rsidR="00D02973">
              <w:rPr>
                <w:noProof/>
                <w:webHidden/>
              </w:rPr>
              <w:fldChar w:fldCharType="begin"/>
            </w:r>
            <w:r w:rsidR="00D02973">
              <w:rPr>
                <w:noProof/>
                <w:webHidden/>
              </w:rPr>
              <w:instrText xml:space="preserve"> PAGEREF _Toc448475223 \h </w:instrText>
            </w:r>
            <w:r w:rsidR="00D02973">
              <w:rPr>
                <w:noProof/>
                <w:webHidden/>
              </w:rPr>
            </w:r>
            <w:r w:rsidR="00D02973">
              <w:rPr>
                <w:noProof/>
                <w:webHidden/>
              </w:rPr>
              <w:fldChar w:fldCharType="separate"/>
            </w:r>
            <w:r w:rsidR="009A42EB">
              <w:rPr>
                <w:noProof/>
                <w:webHidden/>
              </w:rPr>
              <w:t>55</w:t>
            </w:r>
            <w:r w:rsidR="00D02973">
              <w:rPr>
                <w:noProof/>
                <w:webHidden/>
              </w:rPr>
              <w:fldChar w:fldCharType="end"/>
            </w:r>
          </w:hyperlink>
        </w:p>
        <w:p w:rsidR="00D02973" w:rsidRDefault="000702B7" w:rsidP="00D02973">
          <w:pPr>
            <w:pStyle w:val="TOC2"/>
            <w:tabs>
              <w:tab w:val="left" w:pos="720"/>
              <w:tab w:val="right" w:leader="dot" w:pos="9017"/>
            </w:tabs>
            <w:rPr>
              <w:rFonts w:eastAsiaTheme="minorEastAsia"/>
              <w:noProof/>
              <w:lang w:eastAsia="en-AU"/>
            </w:rPr>
          </w:pPr>
          <w:hyperlink w:anchor="_Toc448475224" w:history="1">
            <w:r w:rsidR="00D02973" w:rsidRPr="004B76D5">
              <w:rPr>
                <w:rStyle w:val="Hyperlink"/>
                <w:noProof/>
              </w:rPr>
              <w:t>6.2</w:t>
            </w:r>
            <w:r w:rsidR="00D02973">
              <w:rPr>
                <w:rFonts w:eastAsiaTheme="minorEastAsia"/>
                <w:noProof/>
                <w:lang w:eastAsia="en-AU"/>
              </w:rPr>
              <w:tab/>
            </w:r>
            <w:r w:rsidR="00D02973" w:rsidRPr="004B76D5">
              <w:rPr>
                <w:rStyle w:val="Hyperlink"/>
                <w:noProof/>
              </w:rPr>
              <w:t>Service Financial Forecasts</w:t>
            </w:r>
            <w:r w:rsidR="00D02973">
              <w:rPr>
                <w:noProof/>
                <w:webHidden/>
              </w:rPr>
              <w:tab/>
            </w:r>
            <w:r w:rsidR="00D02973">
              <w:rPr>
                <w:noProof/>
                <w:webHidden/>
              </w:rPr>
              <w:fldChar w:fldCharType="begin"/>
            </w:r>
            <w:r w:rsidR="00D02973">
              <w:rPr>
                <w:noProof/>
                <w:webHidden/>
              </w:rPr>
              <w:instrText xml:space="preserve"> PAGEREF _Toc448475224 \h </w:instrText>
            </w:r>
            <w:r w:rsidR="00D02973">
              <w:rPr>
                <w:noProof/>
                <w:webHidden/>
              </w:rPr>
            </w:r>
            <w:r w:rsidR="00D02973">
              <w:rPr>
                <w:noProof/>
                <w:webHidden/>
              </w:rPr>
              <w:fldChar w:fldCharType="separate"/>
            </w:r>
            <w:r w:rsidR="009A42EB">
              <w:rPr>
                <w:noProof/>
                <w:webHidden/>
              </w:rPr>
              <w:t>55</w:t>
            </w:r>
            <w:r w:rsidR="00D02973">
              <w:rPr>
                <w:noProof/>
                <w:webHidden/>
              </w:rPr>
              <w:fldChar w:fldCharType="end"/>
            </w:r>
          </w:hyperlink>
        </w:p>
        <w:p w:rsidR="00D02973" w:rsidRDefault="000702B7" w:rsidP="00D02973">
          <w:pPr>
            <w:pStyle w:val="TOC2"/>
            <w:tabs>
              <w:tab w:val="left" w:pos="720"/>
              <w:tab w:val="right" w:leader="dot" w:pos="9017"/>
            </w:tabs>
            <w:rPr>
              <w:rFonts w:eastAsiaTheme="minorEastAsia"/>
              <w:noProof/>
              <w:lang w:eastAsia="en-AU"/>
            </w:rPr>
          </w:pPr>
          <w:hyperlink w:anchor="_Toc448475225" w:history="1">
            <w:r w:rsidR="00D02973" w:rsidRPr="004B76D5">
              <w:rPr>
                <w:rStyle w:val="Hyperlink"/>
                <w:noProof/>
              </w:rPr>
              <w:t>6.3</w:t>
            </w:r>
            <w:r w:rsidR="00D02973">
              <w:rPr>
                <w:rFonts w:eastAsiaTheme="minorEastAsia"/>
                <w:noProof/>
                <w:lang w:eastAsia="en-AU"/>
              </w:rPr>
              <w:tab/>
            </w:r>
            <w:r w:rsidR="00D02973" w:rsidRPr="004B76D5">
              <w:rPr>
                <w:rStyle w:val="Hyperlink"/>
                <w:noProof/>
              </w:rPr>
              <w:t>Key Assumptions</w:t>
            </w:r>
            <w:r w:rsidR="00D02973">
              <w:rPr>
                <w:noProof/>
                <w:webHidden/>
              </w:rPr>
              <w:tab/>
            </w:r>
            <w:r w:rsidR="00D02973">
              <w:rPr>
                <w:noProof/>
                <w:webHidden/>
              </w:rPr>
              <w:fldChar w:fldCharType="begin"/>
            </w:r>
            <w:r w:rsidR="00D02973">
              <w:rPr>
                <w:noProof/>
                <w:webHidden/>
              </w:rPr>
              <w:instrText xml:space="preserve"> PAGEREF _Toc448475225 \h </w:instrText>
            </w:r>
            <w:r w:rsidR="00D02973">
              <w:rPr>
                <w:noProof/>
                <w:webHidden/>
              </w:rPr>
            </w:r>
            <w:r w:rsidR="00D02973">
              <w:rPr>
                <w:noProof/>
                <w:webHidden/>
              </w:rPr>
              <w:fldChar w:fldCharType="separate"/>
            </w:r>
            <w:r w:rsidR="009A42EB">
              <w:rPr>
                <w:noProof/>
                <w:webHidden/>
              </w:rPr>
              <w:t>56</w:t>
            </w:r>
            <w:r w:rsidR="00D02973">
              <w:rPr>
                <w:noProof/>
                <w:webHidden/>
              </w:rPr>
              <w:fldChar w:fldCharType="end"/>
            </w:r>
          </w:hyperlink>
        </w:p>
        <w:p w:rsidR="00D02973" w:rsidRDefault="000702B7" w:rsidP="00D02973">
          <w:pPr>
            <w:pStyle w:val="TOC1"/>
            <w:tabs>
              <w:tab w:val="left" w:pos="720"/>
              <w:tab w:val="right" w:leader="dot" w:pos="9017"/>
            </w:tabs>
            <w:rPr>
              <w:rFonts w:eastAsiaTheme="minorEastAsia"/>
              <w:noProof/>
              <w:lang w:eastAsia="en-AU"/>
            </w:rPr>
          </w:pPr>
          <w:hyperlink w:anchor="_Toc448475226" w:history="1">
            <w:r w:rsidR="00D02973" w:rsidRPr="004B76D5">
              <w:rPr>
                <w:rStyle w:val="Hyperlink"/>
                <w:noProof/>
              </w:rPr>
              <w:t xml:space="preserve">7.0 </w:t>
            </w:r>
            <w:r w:rsidR="00D02973">
              <w:rPr>
                <w:rFonts w:eastAsiaTheme="minorEastAsia"/>
                <w:noProof/>
                <w:lang w:eastAsia="en-AU"/>
              </w:rPr>
              <w:tab/>
            </w:r>
            <w:r w:rsidR="00D02973" w:rsidRPr="004B76D5">
              <w:rPr>
                <w:rStyle w:val="Hyperlink"/>
                <w:noProof/>
              </w:rPr>
              <w:t>Asset Management Improvements</w:t>
            </w:r>
            <w:r w:rsidR="00D02973">
              <w:rPr>
                <w:noProof/>
                <w:webHidden/>
              </w:rPr>
              <w:tab/>
            </w:r>
            <w:r w:rsidR="00D02973">
              <w:rPr>
                <w:noProof/>
                <w:webHidden/>
              </w:rPr>
              <w:fldChar w:fldCharType="begin"/>
            </w:r>
            <w:r w:rsidR="00D02973">
              <w:rPr>
                <w:noProof/>
                <w:webHidden/>
              </w:rPr>
              <w:instrText xml:space="preserve"> PAGEREF _Toc448475226 \h </w:instrText>
            </w:r>
            <w:r w:rsidR="00D02973">
              <w:rPr>
                <w:noProof/>
                <w:webHidden/>
              </w:rPr>
            </w:r>
            <w:r w:rsidR="00D02973">
              <w:rPr>
                <w:noProof/>
                <w:webHidden/>
              </w:rPr>
              <w:fldChar w:fldCharType="separate"/>
            </w:r>
            <w:r w:rsidR="009A42EB">
              <w:rPr>
                <w:noProof/>
                <w:webHidden/>
              </w:rPr>
              <w:t>57</w:t>
            </w:r>
            <w:r w:rsidR="00D02973">
              <w:rPr>
                <w:noProof/>
                <w:webHidden/>
              </w:rPr>
              <w:fldChar w:fldCharType="end"/>
            </w:r>
          </w:hyperlink>
        </w:p>
        <w:p w:rsidR="00D02973" w:rsidRDefault="000702B7" w:rsidP="00D02973">
          <w:pPr>
            <w:pStyle w:val="TOC2"/>
            <w:tabs>
              <w:tab w:val="left" w:pos="720"/>
              <w:tab w:val="right" w:leader="dot" w:pos="9017"/>
            </w:tabs>
            <w:rPr>
              <w:rFonts w:eastAsiaTheme="minorEastAsia"/>
              <w:noProof/>
              <w:lang w:eastAsia="en-AU"/>
            </w:rPr>
          </w:pPr>
          <w:hyperlink w:anchor="_Toc448475227" w:history="1">
            <w:r w:rsidR="00D02973" w:rsidRPr="004B76D5">
              <w:rPr>
                <w:rStyle w:val="Hyperlink"/>
                <w:noProof/>
              </w:rPr>
              <w:t>7.1</w:t>
            </w:r>
            <w:r w:rsidR="00D02973">
              <w:rPr>
                <w:rFonts w:eastAsiaTheme="minorEastAsia"/>
                <w:noProof/>
                <w:lang w:eastAsia="en-AU"/>
              </w:rPr>
              <w:tab/>
            </w:r>
            <w:r w:rsidR="00D02973" w:rsidRPr="004B76D5">
              <w:rPr>
                <w:rStyle w:val="Hyperlink"/>
                <w:noProof/>
              </w:rPr>
              <w:t>Improvement Plan</w:t>
            </w:r>
            <w:r w:rsidR="00D02973">
              <w:rPr>
                <w:noProof/>
                <w:webHidden/>
              </w:rPr>
              <w:tab/>
            </w:r>
            <w:r w:rsidR="00D02973">
              <w:rPr>
                <w:noProof/>
                <w:webHidden/>
              </w:rPr>
              <w:fldChar w:fldCharType="begin"/>
            </w:r>
            <w:r w:rsidR="00D02973">
              <w:rPr>
                <w:noProof/>
                <w:webHidden/>
              </w:rPr>
              <w:instrText xml:space="preserve"> PAGEREF _Toc448475227 \h </w:instrText>
            </w:r>
            <w:r w:rsidR="00D02973">
              <w:rPr>
                <w:noProof/>
                <w:webHidden/>
              </w:rPr>
            </w:r>
            <w:r w:rsidR="00D02973">
              <w:rPr>
                <w:noProof/>
                <w:webHidden/>
              </w:rPr>
              <w:fldChar w:fldCharType="separate"/>
            </w:r>
            <w:r w:rsidR="009A42EB">
              <w:rPr>
                <w:noProof/>
                <w:webHidden/>
              </w:rPr>
              <w:t>57</w:t>
            </w:r>
            <w:r w:rsidR="00D02973">
              <w:rPr>
                <w:noProof/>
                <w:webHidden/>
              </w:rPr>
              <w:fldChar w:fldCharType="end"/>
            </w:r>
          </w:hyperlink>
        </w:p>
        <w:p w:rsidR="00D02973" w:rsidRDefault="000702B7" w:rsidP="00D02973">
          <w:pPr>
            <w:pStyle w:val="TOC1"/>
            <w:tabs>
              <w:tab w:val="left" w:pos="720"/>
              <w:tab w:val="right" w:leader="dot" w:pos="9017"/>
            </w:tabs>
            <w:rPr>
              <w:rFonts w:eastAsiaTheme="minorEastAsia"/>
              <w:noProof/>
              <w:lang w:eastAsia="en-AU"/>
            </w:rPr>
          </w:pPr>
          <w:hyperlink w:anchor="_Toc448475228" w:history="1">
            <w:r w:rsidR="00D02973" w:rsidRPr="004B76D5">
              <w:rPr>
                <w:rStyle w:val="Hyperlink"/>
                <w:noProof/>
              </w:rPr>
              <w:t xml:space="preserve">8.0 </w:t>
            </w:r>
            <w:r w:rsidR="00D02973">
              <w:rPr>
                <w:rFonts w:eastAsiaTheme="minorEastAsia"/>
                <w:noProof/>
                <w:lang w:eastAsia="en-AU"/>
              </w:rPr>
              <w:tab/>
            </w:r>
            <w:r w:rsidR="00D02973" w:rsidRPr="004B76D5">
              <w:rPr>
                <w:rStyle w:val="Hyperlink"/>
                <w:noProof/>
              </w:rPr>
              <w:t>Standards, Manuals, Guidelines &amp; Reports</w:t>
            </w:r>
            <w:r w:rsidR="00D02973">
              <w:rPr>
                <w:noProof/>
                <w:webHidden/>
              </w:rPr>
              <w:tab/>
            </w:r>
            <w:r w:rsidR="00D02973">
              <w:rPr>
                <w:noProof/>
                <w:webHidden/>
              </w:rPr>
              <w:fldChar w:fldCharType="begin"/>
            </w:r>
            <w:r w:rsidR="00D02973">
              <w:rPr>
                <w:noProof/>
                <w:webHidden/>
              </w:rPr>
              <w:instrText xml:space="preserve"> PAGEREF _Toc448475228 \h </w:instrText>
            </w:r>
            <w:r w:rsidR="00D02973">
              <w:rPr>
                <w:noProof/>
                <w:webHidden/>
              </w:rPr>
            </w:r>
            <w:r w:rsidR="00D02973">
              <w:rPr>
                <w:noProof/>
                <w:webHidden/>
              </w:rPr>
              <w:fldChar w:fldCharType="separate"/>
            </w:r>
            <w:r w:rsidR="009A42EB">
              <w:rPr>
                <w:noProof/>
                <w:webHidden/>
              </w:rPr>
              <w:t>59</w:t>
            </w:r>
            <w:r w:rsidR="00D02973">
              <w:rPr>
                <w:noProof/>
                <w:webHidden/>
              </w:rPr>
              <w:fldChar w:fldCharType="end"/>
            </w:r>
          </w:hyperlink>
        </w:p>
        <w:p w:rsidR="00D02973" w:rsidRDefault="000702B7" w:rsidP="00D02973">
          <w:pPr>
            <w:pStyle w:val="TOC1"/>
            <w:tabs>
              <w:tab w:val="left" w:pos="720"/>
              <w:tab w:val="right" w:leader="dot" w:pos="9017"/>
            </w:tabs>
            <w:rPr>
              <w:rFonts w:eastAsiaTheme="minorEastAsia"/>
              <w:noProof/>
              <w:lang w:eastAsia="en-AU"/>
            </w:rPr>
          </w:pPr>
          <w:hyperlink w:anchor="_Toc448475229" w:history="1">
            <w:r w:rsidR="00D02973" w:rsidRPr="004B76D5">
              <w:rPr>
                <w:rStyle w:val="Hyperlink"/>
                <w:noProof/>
              </w:rPr>
              <w:t xml:space="preserve">9.0 </w:t>
            </w:r>
            <w:r w:rsidR="00D02973">
              <w:rPr>
                <w:rFonts w:eastAsiaTheme="minorEastAsia"/>
                <w:noProof/>
                <w:lang w:eastAsia="en-AU"/>
              </w:rPr>
              <w:tab/>
            </w:r>
            <w:r w:rsidR="00D02973" w:rsidRPr="004B76D5">
              <w:rPr>
                <w:rStyle w:val="Hyperlink"/>
                <w:noProof/>
              </w:rPr>
              <w:t>Reference Documents</w:t>
            </w:r>
            <w:r w:rsidR="00D02973">
              <w:rPr>
                <w:noProof/>
                <w:webHidden/>
              </w:rPr>
              <w:tab/>
            </w:r>
            <w:r w:rsidR="00D02973">
              <w:rPr>
                <w:noProof/>
                <w:webHidden/>
              </w:rPr>
              <w:fldChar w:fldCharType="begin"/>
            </w:r>
            <w:r w:rsidR="00D02973">
              <w:rPr>
                <w:noProof/>
                <w:webHidden/>
              </w:rPr>
              <w:instrText xml:space="preserve"> PAGEREF _Toc448475229 \h </w:instrText>
            </w:r>
            <w:r w:rsidR="00D02973">
              <w:rPr>
                <w:noProof/>
                <w:webHidden/>
              </w:rPr>
            </w:r>
            <w:r w:rsidR="00D02973">
              <w:rPr>
                <w:noProof/>
                <w:webHidden/>
              </w:rPr>
              <w:fldChar w:fldCharType="separate"/>
            </w:r>
            <w:r w:rsidR="009A42EB">
              <w:rPr>
                <w:noProof/>
                <w:webHidden/>
              </w:rPr>
              <w:t>59</w:t>
            </w:r>
            <w:r w:rsidR="00D02973">
              <w:rPr>
                <w:noProof/>
                <w:webHidden/>
              </w:rPr>
              <w:fldChar w:fldCharType="end"/>
            </w:r>
          </w:hyperlink>
        </w:p>
        <w:p w:rsidR="00D02973" w:rsidRDefault="000702B7" w:rsidP="00D02973">
          <w:pPr>
            <w:pStyle w:val="TOC1"/>
            <w:tabs>
              <w:tab w:val="left" w:pos="720"/>
              <w:tab w:val="right" w:leader="dot" w:pos="9017"/>
            </w:tabs>
            <w:rPr>
              <w:rFonts w:eastAsiaTheme="minorEastAsia"/>
              <w:noProof/>
              <w:lang w:eastAsia="en-AU"/>
            </w:rPr>
          </w:pPr>
          <w:hyperlink w:anchor="_Toc448475230" w:history="1">
            <w:r w:rsidR="00D02973" w:rsidRPr="004B76D5">
              <w:rPr>
                <w:rStyle w:val="Hyperlink"/>
                <w:noProof/>
              </w:rPr>
              <w:t xml:space="preserve">10.0 </w:t>
            </w:r>
            <w:r w:rsidR="00D02973">
              <w:rPr>
                <w:rFonts w:eastAsiaTheme="minorEastAsia"/>
                <w:noProof/>
                <w:lang w:eastAsia="en-AU"/>
              </w:rPr>
              <w:tab/>
            </w:r>
            <w:r w:rsidR="00D02973" w:rsidRPr="004B76D5">
              <w:rPr>
                <w:rStyle w:val="Hyperlink"/>
                <w:noProof/>
              </w:rPr>
              <w:t>Appendices</w:t>
            </w:r>
            <w:r w:rsidR="00D02973">
              <w:rPr>
                <w:noProof/>
                <w:webHidden/>
              </w:rPr>
              <w:tab/>
            </w:r>
            <w:r w:rsidR="00D02973">
              <w:rPr>
                <w:noProof/>
                <w:webHidden/>
              </w:rPr>
              <w:fldChar w:fldCharType="begin"/>
            </w:r>
            <w:r w:rsidR="00D02973">
              <w:rPr>
                <w:noProof/>
                <w:webHidden/>
              </w:rPr>
              <w:instrText xml:space="preserve"> PAGEREF _Toc448475230 \h </w:instrText>
            </w:r>
            <w:r w:rsidR="00D02973">
              <w:rPr>
                <w:noProof/>
                <w:webHidden/>
              </w:rPr>
            </w:r>
            <w:r w:rsidR="00D02973">
              <w:rPr>
                <w:noProof/>
                <w:webHidden/>
              </w:rPr>
              <w:fldChar w:fldCharType="separate"/>
            </w:r>
            <w:r w:rsidR="009A42EB">
              <w:rPr>
                <w:noProof/>
                <w:webHidden/>
              </w:rPr>
              <w:t>60</w:t>
            </w:r>
            <w:r w:rsidR="00D02973">
              <w:rPr>
                <w:noProof/>
                <w:webHidden/>
              </w:rPr>
              <w:fldChar w:fldCharType="end"/>
            </w:r>
          </w:hyperlink>
        </w:p>
        <w:p w:rsidR="00D02973" w:rsidRDefault="000702B7" w:rsidP="00D02973">
          <w:pPr>
            <w:pStyle w:val="TOC2"/>
            <w:tabs>
              <w:tab w:val="right" w:leader="dot" w:pos="9017"/>
            </w:tabs>
            <w:rPr>
              <w:rFonts w:eastAsiaTheme="minorEastAsia"/>
              <w:noProof/>
              <w:lang w:eastAsia="en-AU"/>
            </w:rPr>
          </w:pPr>
          <w:hyperlink w:anchor="_Toc448475231" w:history="1">
            <w:r w:rsidR="00D02973" w:rsidRPr="004B76D5">
              <w:rPr>
                <w:rStyle w:val="Hyperlink"/>
                <w:noProof/>
              </w:rPr>
              <w:t>Appendix 1 – Functional Recreation and Open Space Hierarchy Criteria</w:t>
            </w:r>
            <w:r w:rsidR="00D02973">
              <w:rPr>
                <w:noProof/>
                <w:webHidden/>
              </w:rPr>
              <w:tab/>
            </w:r>
            <w:r w:rsidR="00D02973">
              <w:rPr>
                <w:noProof/>
                <w:webHidden/>
              </w:rPr>
              <w:fldChar w:fldCharType="begin"/>
            </w:r>
            <w:r w:rsidR="00D02973">
              <w:rPr>
                <w:noProof/>
                <w:webHidden/>
              </w:rPr>
              <w:instrText xml:space="preserve"> PAGEREF _Toc448475231 \h </w:instrText>
            </w:r>
            <w:r w:rsidR="00D02973">
              <w:rPr>
                <w:noProof/>
                <w:webHidden/>
              </w:rPr>
            </w:r>
            <w:r w:rsidR="00D02973">
              <w:rPr>
                <w:noProof/>
                <w:webHidden/>
              </w:rPr>
              <w:fldChar w:fldCharType="separate"/>
            </w:r>
            <w:r w:rsidR="009A42EB">
              <w:rPr>
                <w:noProof/>
                <w:webHidden/>
              </w:rPr>
              <w:t>60</w:t>
            </w:r>
            <w:r w:rsidR="00D02973">
              <w:rPr>
                <w:noProof/>
                <w:webHidden/>
              </w:rPr>
              <w:fldChar w:fldCharType="end"/>
            </w:r>
          </w:hyperlink>
        </w:p>
        <w:p w:rsidR="00D02973" w:rsidRDefault="000702B7" w:rsidP="00D02973">
          <w:pPr>
            <w:pStyle w:val="TOC2"/>
            <w:tabs>
              <w:tab w:val="right" w:leader="dot" w:pos="9017"/>
            </w:tabs>
            <w:rPr>
              <w:rFonts w:eastAsiaTheme="minorEastAsia"/>
              <w:noProof/>
              <w:lang w:eastAsia="en-AU"/>
            </w:rPr>
          </w:pPr>
          <w:hyperlink w:anchor="_Toc448475232" w:history="1">
            <w:r w:rsidR="00D02973" w:rsidRPr="004B76D5">
              <w:rPr>
                <w:rStyle w:val="Hyperlink"/>
                <w:noProof/>
              </w:rPr>
              <w:t>Appendix 2 – Functional Facility Hierarchy Classification</w:t>
            </w:r>
            <w:r w:rsidR="00D02973">
              <w:rPr>
                <w:noProof/>
                <w:webHidden/>
              </w:rPr>
              <w:tab/>
            </w:r>
            <w:r w:rsidR="00D02973">
              <w:rPr>
                <w:noProof/>
                <w:webHidden/>
              </w:rPr>
              <w:fldChar w:fldCharType="begin"/>
            </w:r>
            <w:r w:rsidR="00D02973">
              <w:rPr>
                <w:noProof/>
                <w:webHidden/>
              </w:rPr>
              <w:instrText xml:space="preserve"> PAGEREF _Toc448475232 \h </w:instrText>
            </w:r>
            <w:r w:rsidR="00D02973">
              <w:rPr>
                <w:noProof/>
                <w:webHidden/>
              </w:rPr>
            </w:r>
            <w:r w:rsidR="00D02973">
              <w:rPr>
                <w:noProof/>
                <w:webHidden/>
              </w:rPr>
              <w:fldChar w:fldCharType="separate"/>
            </w:r>
            <w:r w:rsidR="009A42EB">
              <w:rPr>
                <w:noProof/>
                <w:webHidden/>
              </w:rPr>
              <w:t>60</w:t>
            </w:r>
            <w:r w:rsidR="00D02973">
              <w:rPr>
                <w:noProof/>
                <w:webHidden/>
              </w:rPr>
              <w:fldChar w:fldCharType="end"/>
            </w:r>
          </w:hyperlink>
        </w:p>
        <w:p w:rsidR="00D02973" w:rsidRDefault="000702B7" w:rsidP="00D02973">
          <w:pPr>
            <w:pStyle w:val="TOC2"/>
            <w:tabs>
              <w:tab w:val="right" w:leader="dot" w:pos="9017"/>
            </w:tabs>
            <w:rPr>
              <w:rFonts w:eastAsiaTheme="minorEastAsia"/>
              <w:noProof/>
              <w:lang w:eastAsia="en-AU"/>
            </w:rPr>
          </w:pPr>
          <w:hyperlink w:anchor="_Toc448475233" w:history="1">
            <w:r w:rsidR="00D02973" w:rsidRPr="004B76D5">
              <w:rPr>
                <w:rStyle w:val="Hyperlink"/>
                <w:noProof/>
              </w:rPr>
              <w:t>Appendix 3 - Response Times - Request for Service</w:t>
            </w:r>
            <w:r w:rsidR="00D02973">
              <w:rPr>
                <w:noProof/>
                <w:webHidden/>
              </w:rPr>
              <w:tab/>
            </w:r>
            <w:r w:rsidR="00D02973">
              <w:rPr>
                <w:noProof/>
                <w:webHidden/>
              </w:rPr>
              <w:fldChar w:fldCharType="begin"/>
            </w:r>
            <w:r w:rsidR="00D02973">
              <w:rPr>
                <w:noProof/>
                <w:webHidden/>
              </w:rPr>
              <w:instrText xml:space="preserve"> PAGEREF _Toc448475233 \h </w:instrText>
            </w:r>
            <w:r w:rsidR="00D02973">
              <w:rPr>
                <w:noProof/>
                <w:webHidden/>
              </w:rPr>
            </w:r>
            <w:r w:rsidR="00D02973">
              <w:rPr>
                <w:noProof/>
                <w:webHidden/>
              </w:rPr>
              <w:fldChar w:fldCharType="separate"/>
            </w:r>
            <w:r w:rsidR="009A42EB">
              <w:rPr>
                <w:noProof/>
                <w:webHidden/>
              </w:rPr>
              <w:t>60</w:t>
            </w:r>
            <w:r w:rsidR="00D02973">
              <w:rPr>
                <w:noProof/>
                <w:webHidden/>
              </w:rPr>
              <w:fldChar w:fldCharType="end"/>
            </w:r>
          </w:hyperlink>
        </w:p>
        <w:p w:rsidR="00D02973" w:rsidRDefault="000702B7" w:rsidP="00D02973">
          <w:pPr>
            <w:pStyle w:val="TOC2"/>
            <w:tabs>
              <w:tab w:val="right" w:leader="dot" w:pos="9017"/>
            </w:tabs>
            <w:rPr>
              <w:rFonts w:eastAsiaTheme="minorEastAsia"/>
              <w:noProof/>
              <w:lang w:eastAsia="en-AU"/>
            </w:rPr>
          </w:pPr>
          <w:hyperlink w:anchor="_Toc448475234" w:history="1">
            <w:r w:rsidR="00D02973" w:rsidRPr="004B76D5">
              <w:rPr>
                <w:rStyle w:val="Hyperlink"/>
                <w:noProof/>
              </w:rPr>
              <w:t>Appendix 4 - General Service Levels</w:t>
            </w:r>
            <w:r w:rsidR="00D02973">
              <w:rPr>
                <w:noProof/>
                <w:webHidden/>
              </w:rPr>
              <w:tab/>
            </w:r>
            <w:r w:rsidR="00D02973">
              <w:rPr>
                <w:noProof/>
                <w:webHidden/>
              </w:rPr>
              <w:fldChar w:fldCharType="begin"/>
            </w:r>
            <w:r w:rsidR="00D02973">
              <w:rPr>
                <w:noProof/>
                <w:webHidden/>
              </w:rPr>
              <w:instrText xml:space="preserve"> PAGEREF _Toc448475234 \h </w:instrText>
            </w:r>
            <w:r w:rsidR="00D02973">
              <w:rPr>
                <w:noProof/>
                <w:webHidden/>
              </w:rPr>
            </w:r>
            <w:r w:rsidR="00D02973">
              <w:rPr>
                <w:noProof/>
                <w:webHidden/>
              </w:rPr>
              <w:fldChar w:fldCharType="separate"/>
            </w:r>
            <w:r w:rsidR="009A42EB">
              <w:rPr>
                <w:noProof/>
                <w:webHidden/>
              </w:rPr>
              <w:t>60</w:t>
            </w:r>
            <w:r w:rsidR="00D02973">
              <w:rPr>
                <w:noProof/>
                <w:webHidden/>
              </w:rPr>
              <w:fldChar w:fldCharType="end"/>
            </w:r>
          </w:hyperlink>
        </w:p>
        <w:p w:rsidR="00D02973" w:rsidRDefault="000702B7" w:rsidP="00D02973">
          <w:pPr>
            <w:pStyle w:val="TOC2"/>
            <w:tabs>
              <w:tab w:val="right" w:leader="dot" w:pos="9017"/>
            </w:tabs>
            <w:rPr>
              <w:rFonts w:eastAsiaTheme="minorEastAsia"/>
              <w:noProof/>
              <w:lang w:eastAsia="en-AU"/>
            </w:rPr>
          </w:pPr>
          <w:hyperlink w:anchor="_Toc448475235" w:history="1">
            <w:r w:rsidR="00D02973" w:rsidRPr="004B76D5">
              <w:rPr>
                <w:rStyle w:val="Hyperlink"/>
                <w:noProof/>
              </w:rPr>
              <w:t>Appendix 5 – Condition rating scale</w:t>
            </w:r>
            <w:r w:rsidR="00D02973">
              <w:rPr>
                <w:noProof/>
                <w:webHidden/>
              </w:rPr>
              <w:tab/>
            </w:r>
            <w:r w:rsidR="00D02973">
              <w:rPr>
                <w:noProof/>
                <w:webHidden/>
              </w:rPr>
              <w:fldChar w:fldCharType="begin"/>
            </w:r>
            <w:r w:rsidR="00D02973">
              <w:rPr>
                <w:noProof/>
                <w:webHidden/>
              </w:rPr>
              <w:instrText xml:space="preserve"> PAGEREF _Toc448475235 \h </w:instrText>
            </w:r>
            <w:r w:rsidR="00D02973">
              <w:rPr>
                <w:noProof/>
                <w:webHidden/>
              </w:rPr>
            </w:r>
            <w:r w:rsidR="00D02973">
              <w:rPr>
                <w:noProof/>
                <w:webHidden/>
              </w:rPr>
              <w:fldChar w:fldCharType="separate"/>
            </w:r>
            <w:r w:rsidR="009A42EB">
              <w:rPr>
                <w:noProof/>
                <w:webHidden/>
              </w:rPr>
              <w:t>60</w:t>
            </w:r>
            <w:r w:rsidR="00D02973">
              <w:rPr>
                <w:noProof/>
                <w:webHidden/>
              </w:rPr>
              <w:fldChar w:fldCharType="end"/>
            </w:r>
          </w:hyperlink>
        </w:p>
        <w:p w:rsidR="00D02973" w:rsidRDefault="000702B7" w:rsidP="00D02973">
          <w:pPr>
            <w:pStyle w:val="TOC2"/>
            <w:tabs>
              <w:tab w:val="right" w:leader="dot" w:pos="9017"/>
            </w:tabs>
            <w:rPr>
              <w:rFonts w:eastAsiaTheme="minorEastAsia"/>
              <w:noProof/>
              <w:lang w:eastAsia="en-AU"/>
            </w:rPr>
          </w:pPr>
          <w:hyperlink w:anchor="_Toc448475236" w:history="1">
            <w:r w:rsidR="00D02973" w:rsidRPr="004B76D5">
              <w:rPr>
                <w:rStyle w:val="Hyperlink"/>
                <w:noProof/>
              </w:rPr>
              <w:t>Appendix 6 – Key Assumptions in Moloney Modelling Expenditure Forecasts</w:t>
            </w:r>
            <w:r w:rsidR="00D02973">
              <w:rPr>
                <w:noProof/>
                <w:webHidden/>
              </w:rPr>
              <w:tab/>
            </w:r>
            <w:r w:rsidR="00D02973">
              <w:rPr>
                <w:noProof/>
                <w:webHidden/>
              </w:rPr>
              <w:fldChar w:fldCharType="begin"/>
            </w:r>
            <w:r w:rsidR="00D02973">
              <w:rPr>
                <w:noProof/>
                <w:webHidden/>
              </w:rPr>
              <w:instrText xml:space="preserve"> PAGEREF _Toc448475236 \h </w:instrText>
            </w:r>
            <w:r w:rsidR="00D02973">
              <w:rPr>
                <w:noProof/>
                <w:webHidden/>
              </w:rPr>
            </w:r>
            <w:r w:rsidR="00D02973">
              <w:rPr>
                <w:noProof/>
                <w:webHidden/>
              </w:rPr>
              <w:fldChar w:fldCharType="separate"/>
            </w:r>
            <w:r w:rsidR="009A42EB">
              <w:rPr>
                <w:noProof/>
                <w:webHidden/>
              </w:rPr>
              <w:t>60</w:t>
            </w:r>
            <w:r w:rsidR="00D02973">
              <w:rPr>
                <w:noProof/>
                <w:webHidden/>
              </w:rPr>
              <w:fldChar w:fldCharType="end"/>
            </w:r>
          </w:hyperlink>
        </w:p>
        <w:p w:rsidR="00D02973" w:rsidRPr="00EA2F26" w:rsidRDefault="00D02973" w:rsidP="00D02973">
          <w:pPr>
            <w:pStyle w:val="TOC1"/>
            <w:tabs>
              <w:tab w:val="right" w:leader="dot" w:pos="9016"/>
            </w:tabs>
            <w:spacing w:after="200"/>
            <w:sectPr w:rsidR="00D02973" w:rsidRPr="00EA2F26" w:rsidSect="00FC5599">
              <w:headerReference w:type="default" r:id="rId14"/>
              <w:footerReference w:type="default" r:id="rId15"/>
              <w:headerReference w:type="first" r:id="rId16"/>
              <w:footerReference w:type="first" r:id="rId17"/>
              <w:pgSz w:w="11907" w:h="16839" w:code="9"/>
              <w:pgMar w:top="1440" w:right="1440" w:bottom="1418" w:left="993" w:header="0" w:footer="283" w:gutter="0"/>
              <w:pgNumType w:start="1"/>
              <w:cols w:space="708"/>
              <w:docGrid w:linePitch="360"/>
            </w:sectPr>
          </w:pPr>
          <w:r w:rsidRPr="00C00174">
            <w:rPr>
              <w:b/>
              <w:bCs/>
              <w:noProof/>
            </w:rPr>
            <w:fldChar w:fldCharType="end"/>
          </w:r>
        </w:p>
      </w:sdtContent>
    </w:sdt>
    <w:p w:rsidR="00D02973" w:rsidRPr="00DF2FAC" w:rsidRDefault="00D02973" w:rsidP="00D02973">
      <w:pPr>
        <w:pStyle w:val="Heading1"/>
        <w:spacing w:before="0" w:after="200"/>
        <w:rPr>
          <w:rFonts w:asciiTheme="minorHAnsi" w:hAnsiTheme="minorHAnsi"/>
        </w:rPr>
      </w:pPr>
      <w:bookmarkStart w:id="1" w:name="_Toc448475159"/>
      <w:r w:rsidRPr="00DF2FAC">
        <w:rPr>
          <w:rFonts w:asciiTheme="minorHAnsi" w:hAnsiTheme="minorHAnsi"/>
        </w:rPr>
        <w:lastRenderedPageBreak/>
        <w:t>Executive Summary</w:t>
      </w:r>
      <w:bookmarkStart w:id="2" w:name="_Toc288653588"/>
      <w:bookmarkEnd w:id="1"/>
    </w:p>
    <w:p w:rsidR="00D02973" w:rsidRPr="00EA2F26" w:rsidRDefault="00D02973" w:rsidP="00D02973">
      <w:pPr>
        <w:pStyle w:val="CTAMPBody"/>
        <w:spacing w:after="200" w:line="276" w:lineRule="auto"/>
        <w:rPr>
          <w:rFonts w:asciiTheme="minorHAnsi" w:eastAsiaTheme="minorHAnsi" w:hAnsiTheme="minorHAnsi" w:cstheme="minorBidi"/>
          <w:sz w:val="22"/>
          <w:szCs w:val="22"/>
        </w:rPr>
      </w:pPr>
      <w:r w:rsidRPr="00EA2F26">
        <w:rPr>
          <w:rFonts w:asciiTheme="minorHAnsi" w:eastAsiaTheme="minorHAnsi" w:hAnsiTheme="minorHAnsi" w:cstheme="minorBidi"/>
          <w:sz w:val="22"/>
          <w:szCs w:val="22"/>
        </w:rPr>
        <w:t xml:space="preserve">Bayside City </w:t>
      </w:r>
      <w:r>
        <w:rPr>
          <w:rFonts w:asciiTheme="minorHAnsi" w:eastAsiaTheme="minorHAnsi" w:hAnsiTheme="minorHAnsi" w:cstheme="minorBidi"/>
          <w:sz w:val="22"/>
          <w:szCs w:val="22"/>
        </w:rPr>
        <w:t>Council</w:t>
      </w:r>
      <w:r w:rsidRPr="00EA2F26">
        <w:rPr>
          <w:rFonts w:asciiTheme="minorHAnsi" w:eastAsiaTheme="minorHAnsi" w:hAnsiTheme="minorHAnsi" w:cstheme="minorBidi"/>
          <w:sz w:val="22"/>
          <w:szCs w:val="22"/>
        </w:rPr>
        <w:t xml:space="preserve"> </w:t>
      </w:r>
      <w:r>
        <w:rPr>
          <w:rFonts w:asciiTheme="minorHAnsi" w:eastAsiaTheme="minorHAnsi" w:hAnsiTheme="minorHAnsi" w:cstheme="minorBidi"/>
          <w:sz w:val="22"/>
          <w:szCs w:val="22"/>
        </w:rPr>
        <w:t>own, operate and maintain</w:t>
      </w:r>
      <w:r w:rsidRPr="00EA2F26">
        <w:rPr>
          <w:rFonts w:asciiTheme="minorHAnsi" w:eastAsiaTheme="minorHAnsi" w:hAnsiTheme="minorHAnsi" w:cstheme="minorBidi"/>
          <w:sz w:val="22"/>
          <w:szCs w:val="22"/>
        </w:rPr>
        <w:t xml:space="preserve"> recreation and open space assets with a replacement value of </w:t>
      </w:r>
      <w:r>
        <w:rPr>
          <w:rFonts w:asciiTheme="minorHAnsi" w:eastAsiaTheme="minorHAnsi" w:hAnsiTheme="minorHAnsi" w:cstheme="minorBidi"/>
          <w:sz w:val="22"/>
          <w:szCs w:val="22"/>
        </w:rPr>
        <w:t>$98.5</w:t>
      </w:r>
      <w:r w:rsidRPr="00EA2F26">
        <w:rPr>
          <w:rFonts w:asciiTheme="minorHAnsi" w:eastAsiaTheme="minorHAnsi" w:hAnsiTheme="minorHAnsi" w:cstheme="minorBidi"/>
          <w:sz w:val="22"/>
          <w:szCs w:val="22"/>
        </w:rPr>
        <w:t xml:space="preserve"> million that provide a range of services to the community. </w:t>
      </w:r>
      <w:r>
        <w:rPr>
          <w:rFonts w:asciiTheme="minorHAnsi" w:eastAsiaTheme="minorHAnsi" w:hAnsiTheme="minorHAnsi" w:cstheme="minorBidi"/>
          <w:sz w:val="22"/>
          <w:szCs w:val="22"/>
        </w:rPr>
        <w:t>Council’s</w:t>
      </w:r>
      <w:r w:rsidRPr="00EA2F26">
        <w:rPr>
          <w:rFonts w:asciiTheme="minorHAnsi" w:eastAsiaTheme="minorHAnsi" w:hAnsiTheme="minorHAnsi" w:cstheme="minorBidi"/>
          <w:sz w:val="22"/>
          <w:szCs w:val="22"/>
        </w:rPr>
        <w:t xml:space="preserve"> 2015/16 annual expenditure on recreation and open space assets </w:t>
      </w:r>
      <w:r>
        <w:rPr>
          <w:rFonts w:asciiTheme="minorHAnsi" w:eastAsiaTheme="minorHAnsi" w:hAnsiTheme="minorHAnsi" w:cstheme="minorBidi"/>
          <w:sz w:val="22"/>
          <w:szCs w:val="22"/>
        </w:rPr>
        <w:t>is $17 million</w:t>
      </w:r>
      <w:r w:rsidRPr="00EA2F26">
        <w:rPr>
          <w:rFonts w:asciiTheme="minorHAnsi" w:eastAsiaTheme="minorHAnsi" w:hAnsiTheme="minorHAnsi" w:cstheme="minorBidi"/>
          <w:sz w:val="22"/>
          <w:szCs w:val="22"/>
        </w:rPr>
        <w:t xml:space="preserve">, representing 30% of </w:t>
      </w:r>
      <w:r>
        <w:rPr>
          <w:rFonts w:asciiTheme="minorHAnsi" w:eastAsiaTheme="minorHAnsi" w:hAnsiTheme="minorHAnsi" w:cstheme="minorBidi"/>
          <w:sz w:val="22"/>
          <w:szCs w:val="22"/>
        </w:rPr>
        <w:t>Council’s</w:t>
      </w:r>
      <w:r w:rsidRPr="00EA2F26">
        <w:rPr>
          <w:rFonts w:asciiTheme="minorHAnsi" w:eastAsiaTheme="minorHAnsi" w:hAnsiTheme="minorHAnsi" w:cstheme="minorBidi"/>
          <w:sz w:val="22"/>
          <w:szCs w:val="22"/>
        </w:rPr>
        <w:t xml:space="preserve"> total budget.</w:t>
      </w:r>
    </w:p>
    <w:p w:rsidR="00D02973" w:rsidRPr="00EA2F26" w:rsidRDefault="00D02973" w:rsidP="00D02973">
      <w:pPr>
        <w:pStyle w:val="CTAMPBody"/>
        <w:spacing w:after="200" w:line="276" w:lineRule="auto"/>
        <w:rPr>
          <w:rFonts w:asciiTheme="minorHAnsi" w:eastAsiaTheme="minorHAnsi" w:hAnsiTheme="minorHAnsi" w:cstheme="minorBidi"/>
          <w:b/>
          <w:sz w:val="22"/>
          <w:szCs w:val="22"/>
        </w:rPr>
      </w:pPr>
      <w:r w:rsidRPr="00EA2F26">
        <w:rPr>
          <w:rFonts w:asciiTheme="minorHAnsi" w:eastAsiaTheme="minorHAnsi" w:hAnsiTheme="minorHAnsi" w:cstheme="minorBidi"/>
          <w:b/>
          <w:sz w:val="22"/>
          <w:szCs w:val="22"/>
        </w:rPr>
        <w:t>Purpose of the Recreation and Open Space Asset Management Plan</w:t>
      </w:r>
    </w:p>
    <w:p w:rsidR="00D02973" w:rsidRPr="00EA2F26" w:rsidRDefault="00D02973" w:rsidP="00D02973">
      <w:pPr>
        <w:pStyle w:val="CTAMPBody"/>
        <w:spacing w:after="200" w:line="276" w:lineRule="auto"/>
        <w:rPr>
          <w:rFonts w:asciiTheme="minorHAnsi" w:eastAsiaTheme="minorHAnsi" w:hAnsiTheme="minorHAnsi" w:cstheme="minorBidi"/>
          <w:sz w:val="22"/>
          <w:szCs w:val="22"/>
        </w:rPr>
      </w:pPr>
      <w:r w:rsidRPr="00EA2F26">
        <w:rPr>
          <w:rFonts w:asciiTheme="minorHAnsi" w:eastAsiaTheme="minorHAnsi" w:hAnsiTheme="minorHAnsi" w:cstheme="minorBidi"/>
          <w:sz w:val="22"/>
          <w:szCs w:val="22"/>
        </w:rPr>
        <w:t xml:space="preserve">The purpose of the Recreation and Open Space Asset Management Plan (R&amp;OS-AMP) is to document a robust business case for the continued investment into recreation and open space assets owned and operated by </w:t>
      </w:r>
      <w:r>
        <w:rPr>
          <w:rFonts w:asciiTheme="minorHAnsi" w:eastAsiaTheme="minorHAnsi" w:hAnsiTheme="minorHAnsi" w:cstheme="minorBidi"/>
          <w:sz w:val="22"/>
          <w:szCs w:val="22"/>
        </w:rPr>
        <w:t>Council</w:t>
      </w:r>
      <w:r w:rsidRPr="00EA2F26">
        <w:rPr>
          <w:rFonts w:asciiTheme="minorHAnsi" w:eastAsiaTheme="minorHAnsi" w:hAnsiTheme="minorHAnsi" w:cstheme="minorBidi"/>
          <w:sz w:val="22"/>
          <w:szCs w:val="22"/>
        </w:rPr>
        <w:t xml:space="preserve"> and the services those assets provide to the Community. In this sense</w:t>
      </w:r>
      <w:r>
        <w:rPr>
          <w:rFonts w:asciiTheme="minorHAnsi" w:eastAsiaTheme="minorHAnsi" w:hAnsiTheme="minorHAnsi" w:cstheme="minorBidi"/>
          <w:sz w:val="22"/>
          <w:szCs w:val="22"/>
        </w:rPr>
        <w:t>,</w:t>
      </w:r>
      <w:r w:rsidRPr="00EA2F26">
        <w:rPr>
          <w:rFonts w:asciiTheme="minorHAnsi" w:eastAsiaTheme="minorHAnsi" w:hAnsiTheme="minorHAnsi" w:cstheme="minorBidi"/>
          <w:sz w:val="22"/>
          <w:szCs w:val="22"/>
        </w:rPr>
        <w:t xml:space="preserve"> this document is a </w:t>
      </w:r>
      <w:r w:rsidRPr="00EA2F26">
        <w:rPr>
          <w:rFonts w:asciiTheme="minorHAnsi" w:eastAsiaTheme="minorHAnsi" w:hAnsiTheme="minorHAnsi" w:cstheme="minorBidi"/>
          <w:i/>
          <w:sz w:val="22"/>
          <w:szCs w:val="22"/>
        </w:rPr>
        <w:t>Service-Driven</w:t>
      </w:r>
      <w:r w:rsidRPr="00EA2F26">
        <w:rPr>
          <w:rFonts w:asciiTheme="minorHAnsi" w:eastAsiaTheme="minorHAnsi" w:hAnsiTheme="minorHAnsi" w:cstheme="minorBidi"/>
          <w:sz w:val="22"/>
          <w:szCs w:val="22"/>
        </w:rPr>
        <w:t xml:space="preserve"> Asset Management Plan. This document demonstrates a commitment to </w:t>
      </w:r>
      <w:r w:rsidRPr="00EA2F26">
        <w:rPr>
          <w:rFonts w:asciiTheme="minorHAnsi" w:eastAsiaTheme="minorHAnsi" w:hAnsiTheme="minorHAnsi" w:cstheme="minorBidi"/>
          <w:i/>
          <w:sz w:val="22"/>
          <w:szCs w:val="22"/>
        </w:rPr>
        <w:t>liveability</w:t>
      </w:r>
      <w:r w:rsidRPr="00EA2F26">
        <w:rPr>
          <w:rFonts w:asciiTheme="minorHAnsi" w:eastAsiaTheme="minorHAnsi" w:hAnsiTheme="minorHAnsi" w:cstheme="minorBidi"/>
          <w:sz w:val="22"/>
          <w:szCs w:val="22"/>
        </w:rPr>
        <w:t xml:space="preserve"> (creating a great place to be) through the </w:t>
      </w:r>
      <w:r w:rsidRPr="00EA2F26">
        <w:rPr>
          <w:rFonts w:asciiTheme="minorHAnsi" w:eastAsiaTheme="minorHAnsi" w:hAnsiTheme="minorHAnsi" w:cstheme="minorBidi"/>
          <w:i/>
          <w:sz w:val="22"/>
          <w:szCs w:val="22"/>
        </w:rPr>
        <w:t>delivery of</w:t>
      </w:r>
      <w:r w:rsidRPr="00EA2F26">
        <w:rPr>
          <w:rFonts w:asciiTheme="minorHAnsi" w:eastAsiaTheme="minorHAnsi" w:hAnsiTheme="minorHAnsi" w:cstheme="minorBidi"/>
          <w:sz w:val="22"/>
          <w:szCs w:val="22"/>
        </w:rPr>
        <w:t xml:space="preserve"> </w:t>
      </w:r>
      <w:r w:rsidRPr="00EA2F26">
        <w:rPr>
          <w:rFonts w:asciiTheme="minorHAnsi" w:eastAsiaTheme="minorHAnsi" w:hAnsiTheme="minorHAnsi" w:cstheme="minorBidi"/>
          <w:i/>
          <w:sz w:val="22"/>
          <w:szCs w:val="22"/>
        </w:rPr>
        <w:t>excellent services</w:t>
      </w:r>
      <w:r w:rsidRPr="00EA2F26">
        <w:rPr>
          <w:rFonts w:asciiTheme="minorHAnsi" w:eastAsiaTheme="minorHAnsi" w:hAnsiTheme="minorHAnsi" w:cstheme="minorBidi"/>
          <w:sz w:val="22"/>
          <w:szCs w:val="22"/>
        </w:rPr>
        <w:t xml:space="preserve">, which are the key result areas of the Bayside Better Place </w:t>
      </w:r>
      <w:r w:rsidRPr="004C1C7E">
        <w:rPr>
          <w:rFonts w:asciiTheme="minorHAnsi" w:eastAsiaTheme="minorHAnsi" w:hAnsiTheme="minorHAnsi" w:cstheme="minorBidi"/>
          <w:sz w:val="22"/>
          <w:szCs w:val="22"/>
        </w:rPr>
        <w:t xml:space="preserve">Approach and aligns with the </w:t>
      </w:r>
      <w:r w:rsidRPr="004C1C7E">
        <w:rPr>
          <w:rFonts w:asciiTheme="minorHAnsi" w:eastAsiaTheme="minorHAnsi" w:hAnsiTheme="minorHAnsi" w:cstheme="minorBidi"/>
          <w:i/>
          <w:sz w:val="22"/>
          <w:szCs w:val="22"/>
        </w:rPr>
        <w:t>Planning Infrastructure and Transport</w:t>
      </w:r>
      <w:r w:rsidRPr="004C1C7E">
        <w:rPr>
          <w:rFonts w:asciiTheme="minorHAnsi" w:eastAsiaTheme="minorHAnsi" w:hAnsiTheme="minorHAnsi" w:cstheme="minorBidi"/>
          <w:sz w:val="22"/>
          <w:szCs w:val="22"/>
        </w:rPr>
        <w:t xml:space="preserve"> outcome of th</w:t>
      </w:r>
      <w:r w:rsidRPr="00EA2F26">
        <w:rPr>
          <w:rFonts w:asciiTheme="minorHAnsi" w:eastAsiaTheme="minorHAnsi" w:hAnsiTheme="minorHAnsi" w:cstheme="minorBidi"/>
          <w:sz w:val="22"/>
          <w:szCs w:val="22"/>
        </w:rPr>
        <w:t>e Bayside Community Plan</w:t>
      </w:r>
      <w:r w:rsidR="00172441">
        <w:rPr>
          <w:rFonts w:asciiTheme="minorHAnsi" w:eastAsiaTheme="minorHAnsi" w:hAnsiTheme="minorHAnsi" w:cstheme="minorBidi"/>
          <w:sz w:val="22"/>
          <w:szCs w:val="22"/>
        </w:rPr>
        <w:t>.</w:t>
      </w:r>
      <w:r w:rsidRPr="00EA2F26">
        <w:rPr>
          <w:rFonts w:asciiTheme="minorHAnsi" w:eastAsiaTheme="minorHAnsi" w:hAnsiTheme="minorHAnsi" w:cstheme="minorBidi"/>
          <w:sz w:val="22"/>
          <w:szCs w:val="22"/>
        </w:rPr>
        <w:t xml:space="preserve"> </w:t>
      </w:r>
      <w:r w:rsidR="00172441" w:rsidRPr="00172441">
        <w:rPr>
          <w:rFonts w:asciiTheme="minorHAnsi" w:eastAsiaTheme="minorHAnsi" w:hAnsiTheme="minorHAnsi" w:cstheme="minorBidi"/>
          <w:sz w:val="22"/>
          <w:szCs w:val="22"/>
        </w:rPr>
        <w:t xml:space="preserve">Furthermore, the R-AMP demonstrates the commitment to Goal 7 of the 2013-2017 Council Plan </w:t>
      </w:r>
      <w:r w:rsidRPr="00EA2F26">
        <w:rPr>
          <w:rFonts w:asciiTheme="minorHAnsi" w:eastAsiaTheme="minorHAnsi" w:hAnsiTheme="minorHAnsi" w:cstheme="minorBidi"/>
          <w:sz w:val="22"/>
          <w:szCs w:val="22"/>
        </w:rPr>
        <w:t xml:space="preserve">of a </w:t>
      </w:r>
      <w:r w:rsidRPr="00EA2F26">
        <w:rPr>
          <w:rFonts w:asciiTheme="minorHAnsi" w:eastAsiaTheme="minorHAnsi" w:hAnsiTheme="minorHAnsi" w:cstheme="minorBidi"/>
          <w:i/>
          <w:sz w:val="22"/>
          <w:szCs w:val="22"/>
        </w:rPr>
        <w:t xml:space="preserve">financially responsible </w:t>
      </w:r>
      <w:r>
        <w:rPr>
          <w:rFonts w:asciiTheme="minorHAnsi" w:eastAsiaTheme="minorHAnsi" w:hAnsiTheme="minorHAnsi" w:cstheme="minorBidi"/>
          <w:i/>
          <w:sz w:val="22"/>
          <w:szCs w:val="22"/>
        </w:rPr>
        <w:t>Council</w:t>
      </w:r>
      <w:r w:rsidRPr="00EA2F26">
        <w:rPr>
          <w:rFonts w:asciiTheme="minorHAnsi" w:eastAsiaTheme="minorHAnsi" w:hAnsiTheme="minorHAnsi" w:cstheme="minorBidi"/>
          <w:sz w:val="22"/>
          <w:szCs w:val="22"/>
        </w:rPr>
        <w:t xml:space="preserve">.  </w:t>
      </w:r>
    </w:p>
    <w:p w:rsidR="00D02973" w:rsidRPr="00EA2F26" w:rsidRDefault="00D02973" w:rsidP="00D02973">
      <w:pPr>
        <w:pStyle w:val="CTAMPBody"/>
        <w:spacing w:after="200" w:line="276" w:lineRule="auto"/>
        <w:rPr>
          <w:rFonts w:asciiTheme="minorHAnsi" w:eastAsiaTheme="minorHAnsi" w:hAnsiTheme="minorHAnsi" w:cstheme="minorBidi"/>
          <w:sz w:val="22"/>
          <w:szCs w:val="22"/>
        </w:rPr>
      </w:pPr>
      <w:r w:rsidRPr="00EA2F26">
        <w:rPr>
          <w:rFonts w:asciiTheme="minorHAnsi" w:eastAsiaTheme="minorHAnsi" w:hAnsiTheme="minorHAnsi" w:cstheme="minorBidi"/>
          <w:sz w:val="22"/>
          <w:szCs w:val="22"/>
        </w:rPr>
        <w:t>The R&amp;OS-AMP informs decision making through a focus on improved asset data, the testing and validation of asset management assumptions</w:t>
      </w:r>
      <w:r>
        <w:rPr>
          <w:rFonts w:asciiTheme="minorHAnsi" w:eastAsiaTheme="minorHAnsi" w:hAnsiTheme="minorHAnsi" w:cstheme="minorBidi"/>
          <w:sz w:val="22"/>
          <w:szCs w:val="22"/>
        </w:rPr>
        <w:t>,</w:t>
      </w:r>
      <w:r w:rsidRPr="00EA2F26">
        <w:rPr>
          <w:rFonts w:asciiTheme="minorHAnsi" w:eastAsiaTheme="minorHAnsi" w:hAnsiTheme="minorHAnsi" w:cstheme="minorBidi"/>
          <w:sz w:val="22"/>
          <w:szCs w:val="22"/>
        </w:rPr>
        <w:t xml:space="preserve"> and the prediction of long term financial renewal requirements. It also includes the drivers for upgrading existing assets and the construction of new assets to improve the levels of service provided by </w:t>
      </w:r>
      <w:r>
        <w:rPr>
          <w:rFonts w:asciiTheme="minorHAnsi" w:eastAsiaTheme="minorHAnsi" w:hAnsiTheme="minorHAnsi" w:cstheme="minorBidi"/>
          <w:sz w:val="22"/>
          <w:szCs w:val="22"/>
        </w:rPr>
        <w:t>Council’s</w:t>
      </w:r>
      <w:r w:rsidRPr="00EA2F26">
        <w:rPr>
          <w:rFonts w:asciiTheme="minorHAnsi" w:eastAsiaTheme="minorHAnsi" w:hAnsiTheme="minorHAnsi" w:cstheme="minorBidi"/>
          <w:sz w:val="22"/>
          <w:szCs w:val="22"/>
        </w:rPr>
        <w:t xml:space="preserve"> infrastructure in the future. As a demonstration of </w:t>
      </w:r>
      <w:r>
        <w:rPr>
          <w:rFonts w:asciiTheme="minorHAnsi" w:eastAsiaTheme="minorHAnsi" w:hAnsiTheme="minorHAnsi" w:cstheme="minorBidi"/>
          <w:sz w:val="22"/>
          <w:szCs w:val="22"/>
        </w:rPr>
        <w:t>Council</w:t>
      </w:r>
      <w:r w:rsidRPr="00EA2F26">
        <w:rPr>
          <w:rFonts w:asciiTheme="minorHAnsi" w:eastAsiaTheme="minorHAnsi" w:hAnsiTheme="minorHAnsi" w:cstheme="minorBidi"/>
          <w:sz w:val="22"/>
          <w:szCs w:val="22"/>
        </w:rPr>
        <w:t>’s long term financial sustainability, the 10-year financial requirements for the operation and maintenance, renewal and upgrading of Bayside’s existing recreation and open space infrastructure in addition to the construction of new assets are presented in this document.</w:t>
      </w:r>
    </w:p>
    <w:p w:rsidR="00D02973" w:rsidRPr="00EA2F26" w:rsidRDefault="00D02973" w:rsidP="00D02973">
      <w:pPr>
        <w:pStyle w:val="CTAMPBody"/>
        <w:spacing w:after="200" w:line="276" w:lineRule="auto"/>
        <w:rPr>
          <w:rFonts w:asciiTheme="minorHAnsi" w:eastAsiaTheme="minorHAnsi" w:hAnsiTheme="minorHAnsi" w:cstheme="minorBidi"/>
          <w:b/>
          <w:sz w:val="22"/>
          <w:szCs w:val="22"/>
        </w:rPr>
      </w:pPr>
      <w:r w:rsidRPr="00EA2F26">
        <w:rPr>
          <w:rFonts w:asciiTheme="minorHAnsi" w:eastAsiaTheme="minorHAnsi" w:hAnsiTheme="minorHAnsi" w:cstheme="minorBidi"/>
          <w:b/>
          <w:sz w:val="22"/>
          <w:szCs w:val="22"/>
        </w:rPr>
        <w:t>Asset Description</w:t>
      </w:r>
    </w:p>
    <w:p w:rsidR="00D02973" w:rsidRPr="00EA2F26" w:rsidRDefault="00D02973" w:rsidP="00D02973">
      <w:pPr>
        <w:pStyle w:val="CTAMPBody"/>
        <w:spacing w:after="200" w:line="276" w:lineRule="auto"/>
        <w:rPr>
          <w:rFonts w:asciiTheme="minorHAnsi" w:hAnsiTheme="minorHAnsi" w:cs="Calibri"/>
          <w:color w:val="000000"/>
          <w:sz w:val="22"/>
          <w:szCs w:val="22"/>
        </w:rPr>
      </w:pPr>
      <w:r w:rsidRPr="00EA2F26">
        <w:rPr>
          <w:rFonts w:asciiTheme="minorHAnsi" w:eastAsiaTheme="minorHAnsi" w:hAnsiTheme="minorHAnsi" w:cstheme="minorBidi"/>
          <w:sz w:val="22"/>
          <w:szCs w:val="22"/>
        </w:rPr>
        <w:t>The assets covered in this R&amp;</w:t>
      </w:r>
      <w:r w:rsidRPr="00EA2F26">
        <w:rPr>
          <w:rFonts w:asciiTheme="minorHAnsi" w:hAnsiTheme="minorHAnsi" w:cs="Calibri"/>
          <w:color w:val="000000"/>
          <w:sz w:val="22"/>
          <w:szCs w:val="22"/>
        </w:rPr>
        <w:t>OS-</w:t>
      </w:r>
      <w:r w:rsidRPr="00EA2F26">
        <w:rPr>
          <w:rFonts w:asciiTheme="minorHAnsi" w:eastAsiaTheme="minorHAnsi" w:hAnsiTheme="minorHAnsi" w:cstheme="minorBidi"/>
          <w:sz w:val="22"/>
          <w:szCs w:val="22"/>
        </w:rPr>
        <w:t>AMP include</w:t>
      </w:r>
      <w:r w:rsidRPr="00EA2F26">
        <w:rPr>
          <w:rFonts w:asciiTheme="minorHAnsi" w:hAnsiTheme="minorHAnsi"/>
          <w:sz w:val="22"/>
          <w:szCs w:val="22"/>
        </w:rPr>
        <w:t xml:space="preserve"> land improvements </w:t>
      </w:r>
      <w:r w:rsidRPr="00EA2F26">
        <w:rPr>
          <w:rFonts w:asciiTheme="minorHAnsi" w:hAnsiTheme="minorHAnsi" w:cs="Calibri"/>
          <w:color w:val="000000"/>
          <w:sz w:val="22"/>
          <w:szCs w:val="22"/>
        </w:rPr>
        <w:t>and an extensive network of recreation facilities ranging from sports grounds, parks, playgrounds and foreshore reserves to street trees and landscaping. Assets include</w:t>
      </w:r>
      <w:r>
        <w:rPr>
          <w:rFonts w:asciiTheme="minorHAnsi" w:hAnsiTheme="minorHAnsi" w:cs="Calibri"/>
          <w:color w:val="000000"/>
          <w:sz w:val="22"/>
          <w:szCs w:val="22"/>
        </w:rPr>
        <w:t>, but are not limited to</w:t>
      </w:r>
      <w:r w:rsidRPr="00EA2F26">
        <w:rPr>
          <w:rFonts w:asciiTheme="minorHAnsi" w:hAnsiTheme="minorHAnsi" w:cs="Calibri"/>
          <w:color w:val="000000"/>
          <w:sz w:val="22"/>
          <w:szCs w:val="22"/>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8"/>
        <w:gridCol w:w="4758"/>
      </w:tblGrid>
      <w:tr w:rsidR="00D02973" w:rsidRPr="00EA2F26" w:rsidTr="00DF2FAC">
        <w:trPr>
          <w:trHeight w:val="242"/>
        </w:trPr>
        <w:tc>
          <w:tcPr>
            <w:tcW w:w="4128" w:type="dxa"/>
          </w:tcPr>
          <w:p w:rsidR="00D02973" w:rsidRPr="00EA2F26" w:rsidRDefault="00D02973" w:rsidP="00D02973">
            <w:pPr>
              <w:pStyle w:val="ListParagraph"/>
              <w:numPr>
                <w:ilvl w:val="0"/>
                <w:numId w:val="21"/>
              </w:numPr>
              <w:spacing w:after="0"/>
            </w:pPr>
            <w:r w:rsidRPr="00EA2F26">
              <w:t>18 social family recreational parks,</w:t>
            </w:r>
          </w:p>
        </w:tc>
        <w:tc>
          <w:tcPr>
            <w:tcW w:w="4758" w:type="dxa"/>
          </w:tcPr>
          <w:p w:rsidR="00D02973" w:rsidRPr="00EA2F26" w:rsidRDefault="00D02973" w:rsidP="00D02973">
            <w:pPr>
              <w:pStyle w:val="ListParagraph"/>
              <w:numPr>
                <w:ilvl w:val="0"/>
                <w:numId w:val="21"/>
              </w:numPr>
              <w:spacing w:after="0"/>
            </w:pPr>
            <w:r w:rsidRPr="00EA2F26">
              <w:t>66 playground and skate parks,</w:t>
            </w:r>
          </w:p>
        </w:tc>
      </w:tr>
      <w:tr w:rsidR="00D02973" w:rsidRPr="00EA2F26" w:rsidTr="00DF2FAC">
        <w:trPr>
          <w:trHeight w:val="191"/>
        </w:trPr>
        <w:tc>
          <w:tcPr>
            <w:tcW w:w="4128" w:type="dxa"/>
          </w:tcPr>
          <w:p w:rsidR="00D02973" w:rsidRPr="00EA2F26" w:rsidRDefault="00D02973" w:rsidP="00D02973">
            <w:pPr>
              <w:pStyle w:val="ListParagraph"/>
              <w:numPr>
                <w:ilvl w:val="0"/>
                <w:numId w:val="21"/>
              </w:numPr>
              <w:spacing w:after="0"/>
            </w:pPr>
            <w:r w:rsidRPr="00EA2F26">
              <w:t>26 sportsgrounds,</w:t>
            </w:r>
          </w:p>
        </w:tc>
        <w:tc>
          <w:tcPr>
            <w:tcW w:w="4758" w:type="dxa"/>
          </w:tcPr>
          <w:p w:rsidR="00D02973" w:rsidRPr="00EA2F26" w:rsidRDefault="00D02973" w:rsidP="00D02973">
            <w:pPr>
              <w:pStyle w:val="CTAMPBody"/>
              <w:numPr>
                <w:ilvl w:val="0"/>
                <w:numId w:val="21"/>
              </w:numPr>
              <w:spacing w:after="0" w:line="276" w:lineRule="auto"/>
              <w:rPr>
                <w:rFonts w:asciiTheme="minorHAnsi" w:eastAsiaTheme="minorHAnsi" w:hAnsiTheme="minorHAnsi" w:cstheme="minorBidi"/>
                <w:sz w:val="22"/>
                <w:szCs w:val="22"/>
              </w:rPr>
            </w:pPr>
            <w:r w:rsidRPr="00EA2F26">
              <w:rPr>
                <w:rFonts w:asciiTheme="minorHAnsi" w:hAnsiTheme="minorHAnsi"/>
                <w:sz w:val="22"/>
                <w:szCs w:val="22"/>
              </w:rPr>
              <w:t>19 basketball practice courts,</w:t>
            </w:r>
          </w:p>
        </w:tc>
      </w:tr>
      <w:tr w:rsidR="00D02973" w:rsidRPr="00EA2F26" w:rsidTr="00DF2FAC">
        <w:trPr>
          <w:trHeight w:val="242"/>
        </w:trPr>
        <w:tc>
          <w:tcPr>
            <w:tcW w:w="4128" w:type="dxa"/>
          </w:tcPr>
          <w:p w:rsidR="00D02973" w:rsidRPr="00EA2F26" w:rsidRDefault="00D02973" w:rsidP="00D02973">
            <w:pPr>
              <w:pStyle w:val="ListParagraph"/>
              <w:numPr>
                <w:ilvl w:val="0"/>
                <w:numId w:val="21"/>
              </w:numPr>
              <w:spacing w:after="0"/>
            </w:pPr>
            <w:r w:rsidRPr="00EA2F26">
              <w:t>40 relaxations parks,</w:t>
            </w:r>
          </w:p>
        </w:tc>
        <w:tc>
          <w:tcPr>
            <w:tcW w:w="4758" w:type="dxa"/>
          </w:tcPr>
          <w:p w:rsidR="00D02973" w:rsidRPr="00EA2F26" w:rsidRDefault="00D02973" w:rsidP="00D02973">
            <w:pPr>
              <w:pStyle w:val="ListParagraph"/>
              <w:numPr>
                <w:ilvl w:val="0"/>
                <w:numId w:val="21"/>
              </w:numPr>
              <w:spacing w:after="0"/>
            </w:pPr>
            <w:r w:rsidRPr="00EA2F26">
              <w:t>39 conservation and foreshore reserves,</w:t>
            </w:r>
          </w:p>
        </w:tc>
      </w:tr>
      <w:tr w:rsidR="00D02973" w:rsidRPr="00EA2F26" w:rsidTr="00DF2FAC">
        <w:trPr>
          <w:trHeight w:val="254"/>
        </w:trPr>
        <w:tc>
          <w:tcPr>
            <w:tcW w:w="4128" w:type="dxa"/>
          </w:tcPr>
          <w:p w:rsidR="00D02973" w:rsidRPr="00EA2F26" w:rsidRDefault="00D02973" w:rsidP="00D02973">
            <w:pPr>
              <w:pStyle w:val="ListParagraph"/>
              <w:numPr>
                <w:ilvl w:val="0"/>
                <w:numId w:val="21"/>
              </w:numPr>
              <w:spacing w:after="0"/>
            </w:pPr>
            <w:r w:rsidRPr="00EA2F26">
              <w:t>8 formal gardens,</w:t>
            </w:r>
          </w:p>
        </w:tc>
        <w:tc>
          <w:tcPr>
            <w:tcW w:w="4758" w:type="dxa"/>
          </w:tcPr>
          <w:p w:rsidR="00D02973" w:rsidRPr="00EA2F26" w:rsidRDefault="00D02973" w:rsidP="00D02973">
            <w:pPr>
              <w:pStyle w:val="ListParagraph"/>
              <w:numPr>
                <w:ilvl w:val="0"/>
                <w:numId w:val="21"/>
              </w:numPr>
              <w:spacing w:after="0"/>
            </w:pPr>
            <w:r w:rsidRPr="00EA2F26">
              <w:t>56,534 street and park trees.</w:t>
            </w:r>
          </w:p>
        </w:tc>
      </w:tr>
    </w:tbl>
    <w:p w:rsidR="00D02973" w:rsidRPr="00EF631E" w:rsidRDefault="00D02973" w:rsidP="00D02973">
      <w:pPr>
        <w:pStyle w:val="CTAMPBody"/>
        <w:spacing w:before="240" w:after="200" w:line="276" w:lineRule="auto"/>
        <w:rPr>
          <w:rFonts w:asciiTheme="minorHAnsi" w:eastAsiaTheme="minorHAnsi" w:hAnsiTheme="minorHAnsi" w:cstheme="minorBidi"/>
          <w:sz w:val="22"/>
          <w:szCs w:val="22"/>
        </w:rPr>
      </w:pPr>
      <w:r w:rsidRPr="00EF631E">
        <w:rPr>
          <w:rFonts w:asciiTheme="minorHAnsi" w:eastAsiaTheme="minorHAnsi" w:hAnsiTheme="minorHAnsi" w:cstheme="minorBidi"/>
          <w:sz w:val="22"/>
          <w:szCs w:val="22"/>
        </w:rPr>
        <w:t>Associated assets also include</w:t>
      </w:r>
      <w:r>
        <w:rPr>
          <w:rFonts w:asciiTheme="minorHAnsi" w:eastAsiaTheme="minorHAnsi" w:hAnsiTheme="minorHAnsi" w:cstheme="minorBidi"/>
          <w:sz w:val="22"/>
          <w:szCs w:val="22"/>
        </w:rPr>
        <w:t xml:space="preserve"> access infrastructure such as pathways, stairs, boardwalks and ramps; outdoor furniture including showers, seats and drinking fountains and foreshore assets comprising seawalls, boat ramps, piers and pontoons. Footbridges, carparks and buildings within parks and reserves are not considered within the scope of this document.</w:t>
      </w:r>
    </w:p>
    <w:p w:rsidR="005101EC" w:rsidRDefault="005101EC" w:rsidP="00D02973">
      <w:pPr>
        <w:pStyle w:val="CTAMPBody"/>
        <w:spacing w:after="200" w:line="276" w:lineRule="auto"/>
        <w:rPr>
          <w:rFonts w:asciiTheme="minorHAnsi" w:eastAsiaTheme="minorHAnsi" w:hAnsiTheme="minorHAnsi" w:cstheme="minorBidi"/>
          <w:b/>
          <w:sz w:val="22"/>
          <w:szCs w:val="22"/>
        </w:rPr>
      </w:pPr>
    </w:p>
    <w:p w:rsidR="005101EC" w:rsidRDefault="005101EC" w:rsidP="00D02973">
      <w:pPr>
        <w:pStyle w:val="CTAMPBody"/>
        <w:spacing w:after="200" w:line="276" w:lineRule="auto"/>
        <w:rPr>
          <w:rFonts w:asciiTheme="minorHAnsi" w:eastAsiaTheme="minorHAnsi" w:hAnsiTheme="minorHAnsi" w:cstheme="minorBidi"/>
          <w:b/>
          <w:sz w:val="22"/>
          <w:szCs w:val="22"/>
        </w:rPr>
      </w:pPr>
    </w:p>
    <w:p w:rsidR="00D02973" w:rsidRPr="00EA2F26" w:rsidRDefault="00D02973" w:rsidP="00D02973">
      <w:pPr>
        <w:pStyle w:val="CTAMPBody"/>
        <w:spacing w:after="200" w:line="276" w:lineRule="auto"/>
        <w:rPr>
          <w:rFonts w:asciiTheme="minorHAnsi" w:eastAsiaTheme="minorHAnsi" w:hAnsiTheme="minorHAnsi" w:cstheme="minorBidi"/>
          <w:b/>
          <w:sz w:val="22"/>
          <w:szCs w:val="22"/>
        </w:rPr>
      </w:pPr>
      <w:r w:rsidRPr="00EA2F26">
        <w:rPr>
          <w:rFonts w:asciiTheme="minorHAnsi" w:eastAsiaTheme="minorHAnsi" w:hAnsiTheme="minorHAnsi" w:cstheme="minorBidi"/>
          <w:b/>
          <w:sz w:val="22"/>
          <w:szCs w:val="22"/>
        </w:rPr>
        <w:t>Asset Function</w:t>
      </w:r>
    </w:p>
    <w:p w:rsidR="00D02973" w:rsidRPr="00EA2F26" w:rsidRDefault="00D02973" w:rsidP="00D02973">
      <w:r w:rsidRPr="00EA2F26">
        <w:t>According to the Open Space Strategy (OSS)</w:t>
      </w:r>
      <w:r>
        <w:t xml:space="preserve">, </w:t>
      </w:r>
      <w:r w:rsidRPr="00EA2F26">
        <w:t xml:space="preserve">Bayside City </w:t>
      </w:r>
      <w:r>
        <w:t>Council</w:t>
      </w:r>
      <w:r w:rsidRPr="00EA2F26">
        <w:t xml:space="preserve"> recreation and open space</w:t>
      </w:r>
      <w:r>
        <w:t>s</w:t>
      </w:r>
      <w:r w:rsidRPr="00EA2F26">
        <w:t xml:space="preserve"> </w:t>
      </w:r>
      <w:r>
        <w:t xml:space="preserve">are grouped </w:t>
      </w:r>
      <w:r w:rsidRPr="00EA2F26">
        <w:t>into the foll</w:t>
      </w:r>
      <w:r>
        <w:t>owing 9 functional categories: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5"/>
        <w:gridCol w:w="4774"/>
      </w:tblGrid>
      <w:tr w:rsidR="00D02973" w:rsidRPr="00EA2F26" w:rsidTr="00DF2FAC">
        <w:tc>
          <w:tcPr>
            <w:tcW w:w="4253" w:type="dxa"/>
          </w:tcPr>
          <w:p w:rsidR="00D02973" w:rsidRPr="00EA2F26" w:rsidRDefault="00D02973" w:rsidP="00D02973">
            <w:pPr>
              <w:pStyle w:val="ListParagraph"/>
              <w:numPr>
                <w:ilvl w:val="0"/>
                <w:numId w:val="21"/>
              </w:numPr>
              <w:spacing w:after="0"/>
            </w:pPr>
            <w:r w:rsidRPr="00EA2F26">
              <w:t>Social family recreational parks,</w:t>
            </w:r>
          </w:p>
        </w:tc>
        <w:tc>
          <w:tcPr>
            <w:tcW w:w="4925" w:type="dxa"/>
          </w:tcPr>
          <w:p w:rsidR="00D02973" w:rsidRPr="00EA2F26" w:rsidRDefault="00D02973" w:rsidP="00D02973">
            <w:pPr>
              <w:pStyle w:val="ListParagraph"/>
              <w:numPr>
                <w:ilvl w:val="0"/>
                <w:numId w:val="21"/>
              </w:numPr>
              <w:spacing w:after="0"/>
            </w:pPr>
            <w:r w:rsidRPr="00EA2F26">
              <w:t>Recreation Facilities,</w:t>
            </w:r>
          </w:p>
        </w:tc>
      </w:tr>
      <w:tr w:rsidR="00D02973" w:rsidRPr="00EA2F26" w:rsidTr="00DF2FAC">
        <w:tc>
          <w:tcPr>
            <w:tcW w:w="4253" w:type="dxa"/>
          </w:tcPr>
          <w:p w:rsidR="00D02973" w:rsidRPr="00EA2F26" w:rsidRDefault="00D02973" w:rsidP="00D02973">
            <w:pPr>
              <w:pStyle w:val="ListParagraph"/>
              <w:numPr>
                <w:ilvl w:val="0"/>
                <w:numId w:val="21"/>
              </w:numPr>
              <w:spacing w:after="0"/>
            </w:pPr>
            <w:r w:rsidRPr="00EA2F26">
              <w:t>Sports Grounds,</w:t>
            </w:r>
          </w:p>
        </w:tc>
        <w:tc>
          <w:tcPr>
            <w:tcW w:w="4925" w:type="dxa"/>
          </w:tcPr>
          <w:p w:rsidR="00D02973" w:rsidRPr="00EA2F26" w:rsidRDefault="00D02973" w:rsidP="00D02973">
            <w:pPr>
              <w:pStyle w:val="CTAMPBody"/>
              <w:numPr>
                <w:ilvl w:val="0"/>
                <w:numId w:val="21"/>
              </w:numPr>
              <w:spacing w:after="0" w:line="276" w:lineRule="auto"/>
              <w:rPr>
                <w:rFonts w:asciiTheme="minorHAnsi" w:eastAsiaTheme="minorHAnsi" w:hAnsiTheme="minorHAnsi" w:cstheme="minorBidi"/>
                <w:sz w:val="22"/>
                <w:szCs w:val="22"/>
              </w:rPr>
            </w:pPr>
            <w:r w:rsidRPr="00EA2F26">
              <w:rPr>
                <w:rFonts w:asciiTheme="minorHAnsi" w:hAnsiTheme="minorHAnsi"/>
                <w:sz w:val="22"/>
                <w:szCs w:val="22"/>
              </w:rPr>
              <w:t>Beaches,</w:t>
            </w:r>
          </w:p>
        </w:tc>
      </w:tr>
      <w:tr w:rsidR="00D02973" w:rsidRPr="00EA2F26" w:rsidTr="00DF2FAC">
        <w:tc>
          <w:tcPr>
            <w:tcW w:w="4253" w:type="dxa"/>
          </w:tcPr>
          <w:p w:rsidR="00D02973" w:rsidRPr="00EA2F26" w:rsidRDefault="00D02973" w:rsidP="00D02973">
            <w:pPr>
              <w:pStyle w:val="ListParagraph"/>
              <w:numPr>
                <w:ilvl w:val="0"/>
                <w:numId w:val="21"/>
              </w:numPr>
              <w:spacing w:after="0"/>
            </w:pPr>
            <w:r w:rsidRPr="00EA2F26">
              <w:t>Relaxation Parks,</w:t>
            </w:r>
          </w:p>
        </w:tc>
        <w:tc>
          <w:tcPr>
            <w:tcW w:w="4925" w:type="dxa"/>
          </w:tcPr>
          <w:p w:rsidR="00D02973" w:rsidRPr="00EA2F26" w:rsidRDefault="00D02973" w:rsidP="00D02973">
            <w:pPr>
              <w:pStyle w:val="ListParagraph"/>
              <w:numPr>
                <w:ilvl w:val="0"/>
                <w:numId w:val="21"/>
              </w:numPr>
              <w:spacing w:after="0"/>
            </w:pPr>
            <w:r w:rsidRPr="00EA2F26">
              <w:t>Allocated School Sports Grounds, and</w:t>
            </w:r>
          </w:p>
        </w:tc>
      </w:tr>
      <w:tr w:rsidR="00D02973" w:rsidRPr="00EA2F26" w:rsidTr="00DF2FAC">
        <w:tc>
          <w:tcPr>
            <w:tcW w:w="4253" w:type="dxa"/>
          </w:tcPr>
          <w:p w:rsidR="00D02973" w:rsidRPr="00EA2F26" w:rsidRDefault="00D02973" w:rsidP="00D02973">
            <w:pPr>
              <w:pStyle w:val="ListParagraph"/>
              <w:numPr>
                <w:ilvl w:val="0"/>
                <w:numId w:val="21"/>
              </w:numPr>
              <w:spacing w:after="0"/>
            </w:pPr>
            <w:r w:rsidRPr="00EA2F26">
              <w:t>Formal Gardens,</w:t>
            </w:r>
          </w:p>
        </w:tc>
        <w:tc>
          <w:tcPr>
            <w:tcW w:w="4925" w:type="dxa"/>
          </w:tcPr>
          <w:p w:rsidR="00D02973" w:rsidRPr="00EA2F26" w:rsidRDefault="00D02973" w:rsidP="00D02973">
            <w:pPr>
              <w:pStyle w:val="ListParagraph"/>
              <w:numPr>
                <w:ilvl w:val="0"/>
                <w:numId w:val="21"/>
              </w:numPr>
              <w:spacing w:after="0"/>
            </w:pPr>
            <w:r w:rsidRPr="00EA2F26">
              <w:t>Cemeteries.</w:t>
            </w:r>
          </w:p>
        </w:tc>
      </w:tr>
      <w:tr w:rsidR="00D02973" w:rsidRPr="00EA2F26" w:rsidTr="00DF2FAC">
        <w:tc>
          <w:tcPr>
            <w:tcW w:w="4253" w:type="dxa"/>
          </w:tcPr>
          <w:p w:rsidR="00D02973" w:rsidRPr="00EA2F26" w:rsidRDefault="00D02973" w:rsidP="00D02973">
            <w:pPr>
              <w:pStyle w:val="ListParagraph"/>
              <w:numPr>
                <w:ilvl w:val="0"/>
                <w:numId w:val="21"/>
              </w:numPr>
              <w:spacing w:after="0"/>
            </w:pPr>
            <w:r w:rsidRPr="00EA2F26">
              <w:t>Conservation Reserves,</w:t>
            </w:r>
          </w:p>
        </w:tc>
        <w:tc>
          <w:tcPr>
            <w:tcW w:w="4925" w:type="dxa"/>
          </w:tcPr>
          <w:p w:rsidR="00D02973" w:rsidRPr="00EA2F26" w:rsidRDefault="00D02973" w:rsidP="00DF2FAC">
            <w:pPr>
              <w:pStyle w:val="CTAMPBody"/>
              <w:spacing w:after="200" w:line="276" w:lineRule="auto"/>
              <w:rPr>
                <w:rFonts w:asciiTheme="minorHAnsi" w:eastAsiaTheme="minorHAnsi" w:hAnsiTheme="minorHAnsi" w:cstheme="minorBidi"/>
                <w:sz w:val="22"/>
                <w:szCs w:val="22"/>
              </w:rPr>
            </w:pPr>
          </w:p>
        </w:tc>
      </w:tr>
    </w:tbl>
    <w:p w:rsidR="00D02973" w:rsidRPr="00EA2F26" w:rsidRDefault="00D02973" w:rsidP="00D02973">
      <w:pPr>
        <w:pStyle w:val="CTAMPBody"/>
        <w:spacing w:after="200" w:line="276" w:lineRule="auto"/>
        <w:rPr>
          <w:rFonts w:asciiTheme="minorHAnsi" w:eastAsiaTheme="minorHAnsi" w:hAnsiTheme="minorHAnsi" w:cstheme="minorBidi"/>
          <w:b/>
          <w:sz w:val="22"/>
          <w:szCs w:val="22"/>
        </w:rPr>
      </w:pPr>
      <w:r w:rsidRPr="00EA2F26">
        <w:rPr>
          <w:rFonts w:asciiTheme="minorHAnsi" w:eastAsiaTheme="minorHAnsi" w:hAnsiTheme="minorHAnsi" w:cstheme="minorBidi"/>
          <w:sz w:val="22"/>
          <w:szCs w:val="22"/>
        </w:rPr>
        <w:t xml:space="preserve">It is noted that while open spaces are classified by a particular function, they are multi-service focused. In this respect, open space assets are different from other infrastructure assets such as the road network and stormwater drainage systems which have a singular service focus. </w:t>
      </w:r>
    </w:p>
    <w:p w:rsidR="00D02973" w:rsidRPr="00EA2F26" w:rsidRDefault="00D02973" w:rsidP="00D02973">
      <w:pPr>
        <w:pStyle w:val="CTAMPBody"/>
        <w:spacing w:after="200" w:line="276" w:lineRule="auto"/>
        <w:rPr>
          <w:rFonts w:asciiTheme="minorHAnsi" w:eastAsiaTheme="minorHAnsi" w:hAnsiTheme="minorHAnsi" w:cstheme="minorBidi"/>
          <w:b/>
          <w:sz w:val="22"/>
          <w:szCs w:val="22"/>
        </w:rPr>
      </w:pPr>
      <w:r w:rsidRPr="00EA2F26">
        <w:rPr>
          <w:rFonts w:asciiTheme="minorHAnsi" w:eastAsiaTheme="minorHAnsi" w:hAnsiTheme="minorHAnsi" w:cstheme="minorBidi"/>
          <w:b/>
          <w:sz w:val="22"/>
          <w:szCs w:val="22"/>
        </w:rPr>
        <w:t>Operations and Maintenance</w:t>
      </w:r>
    </w:p>
    <w:p w:rsidR="00D02973" w:rsidRPr="00EA2F26" w:rsidRDefault="00D02973" w:rsidP="00D02973">
      <w:pPr>
        <w:pStyle w:val="CTAMPBody"/>
        <w:spacing w:after="200" w:line="276" w:lineRule="auto"/>
        <w:rPr>
          <w:rFonts w:asciiTheme="minorHAnsi" w:eastAsiaTheme="minorHAnsi" w:hAnsiTheme="minorHAnsi" w:cstheme="minorBidi"/>
          <w:sz w:val="22"/>
          <w:szCs w:val="22"/>
        </w:rPr>
      </w:pPr>
      <w:r w:rsidRPr="00EA2F26">
        <w:rPr>
          <w:rFonts w:asciiTheme="minorHAnsi" w:eastAsiaTheme="minorHAnsi" w:hAnsiTheme="minorHAnsi" w:cstheme="minorBidi"/>
          <w:sz w:val="22"/>
          <w:szCs w:val="22"/>
        </w:rPr>
        <w:t xml:space="preserve">The 2015/16 cost of </w:t>
      </w:r>
      <w:r>
        <w:rPr>
          <w:rFonts w:asciiTheme="minorHAnsi" w:eastAsiaTheme="minorHAnsi" w:hAnsiTheme="minorHAnsi" w:cstheme="minorBidi"/>
          <w:sz w:val="22"/>
          <w:szCs w:val="22"/>
        </w:rPr>
        <w:t>Council</w:t>
      </w:r>
      <w:r w:rsidRPr="00EA2F26">
        <w:rPr>
          <w:rFonts w:asciiTheme="minorHAnsi" w:eastAsiaTheme="minorHAnsi" w:hAnsiTheme="minorHAnsi" w:cstheme="minorBidi"/>
          <w:sz w:val="22"/>
          <w:szCs w:val="22"/>
        </w:rPr>
        <w:t>’s recreation and open space asset maintenance program is $10</w:t>
      </w:r>
      <w:r>
        <w:rPr>
          <w:rFonts w:asciiTheme="minorHAnsi" w:eastAsiaTheme="minorHAnsi" w:hAnsiTheme="minorHAnsi" w:cstheme="minorBidi"/>
          <w:sz w:val="22"/>
          <w:szCs w:val="22"/>
        </w:rPr>
        <w:t>.5 million</w:t>
      </w:r>
      <w:r w:rsidRPr="00EA2F26">
        <w:rPr>
          <w:rFonts w:asciiTheme="minorHAnsi" w:eastAsiaTheme="minorHAnsi" w:hAnsiTheme="minorHAnsi" w:cstheme="minorBidi"/>
          <w:sz w:val="22"/>
          <w:szCs w:val="22"/>
        </w:rPr>
        <w:t xml:space="preserve"> and is expected to increase </w:t>
      </w:r>
      <w:r>
        <w:rPr>
          <w:rFonts w:asciiTheme="minorHAnsi" w:eastAsiaTheme="minorHAnsi" w:hAnsiTheme="minorHAnsi" w:cstheme="minorBidi"/>
          <w:sz w:val="22"/>
          <w:szCs w:val="22"/>
        </w:rPr>
        <w:t>to $14 million over the next ten years through inflation, annual cost escalation</w:t>
      </w:r>
      <w:r w:rsidRPr="00EA2F26">
        <w:rPr>
          <w:rFonts w:asciiTheme="minorHAnsi" w:eastAsiaTheme="minorHAnsi" w:hAnsiTheme="minorHAnsi" w:cstheme="minorBidi"/>
          <w:sz w:val="22"/>
          <w:szCs w:val="22"/>
        </w:rPr>
        <w:t xml:space="preserve"> and the additional maintenance requirements of new assets created. This assumes there is no substantial change in ownership typically by selling or change of ownership (e.g. Parks Victoria or State Government).</w:t>
      </w:r>
    </w:p>
    <w:p w:rsidR="00D02973" w:rsidRPr="00EA2F26" w:rsidRDefault="00D02973" w:rsidP="00D02973">
      <w:pPr>
        <w:pStyle w:val="CTAMPBody"/>
        <w:spacing w:after="200" w:line="276" w:lineRule="auto"/>
        <w:rPr>
          <w:rFonts w:asciiTheme="minorHAnsi" w:eastAsiaTheme="minorHAnsi" w:hAnsiTheme="minorHAnsi" w:cstheme="minorBidi"/>
          <w:b/>
          <w:sz w:val="22"/>
          <w:szCs w:val="22"/>
        </w:rPr>
      </w:pPr>
      <w:r w:rsidRPr="00EA2F26">
        <w:rPr>
          <w:rFonts w:asciiTheme="minorHAnsi" w:eastAsiaTheme="minorHAnsi" w:hAnsiTheme="minorHAnsi" w:cstheme="minorBidi"/>
          <w:b/>
          <w:sz w:val="22"/>
          <w:szCs w:val="22"/>
        </w:rPr>
        <w:t>Renewal Financial Demand Forecast for Current Service Level</w:t>
      </w:r>
    </w:p>
    <w:p w:rsidR="00D02973" w:rsidRPr="00EA2F26" w:rsidRDefault="00D02973" w:rsidP="00D02973">
      <w:pPr>
        <w:pStyle w:val="CTAMPBody"/>
        <w:spacing w:after="200" w:line="276" w:lineRule="auto"/>
        <w:rPr>
          <w:rFonts w:asciiTheme="minorHAnsi" w:eastAsiaTheme="minorHAnsi" w:hAnsiTheme="minorHAnsi" w:cstheme="minorBidi"/>
          <w:sz w:val="22"/>
          <w:szCs w:val="22"/>
        </w:rPr>
      </w:pPr>
      <w:r w:rsidRPr="00EA2F26">
        <w:rPr>
          <w:rFonts w:asciiTheme="minorHAnsi" w:eastAsiaTheme="minorHAnsi" w:hAnsiTheme="minorHAnsi" w:cstheme="minorBidi"/>
          <w:sz w:val="22"/>
          <w:szCs w:val="22"/>
        </w:rPr>
        <w:t>Renewal financial forecasting using the Moloney Model, which is based on the age and condition distribution of the asset stock, predicts a current 2015/16 renewal demand for recreation and open space assets of $</w:t>
      </w:r>
      <w:r>
        <w:rPr>
          <w:rFonts w:asciiTheme="minorHAnsi" w:eastAsiaTheme="minorHAnsi" w:hAnsiTheme="minorHAnsi" w:cstheme="minorBidi"/>
          <w:sz w:val="22"/>
          <w:szCs w:val="22"/>
        </w:rPr>
        <w:t>1.7 million rising annually to</w:t>
      </w:r>
      <w:r w:rsidRPr="00EA2F26">
        <w:rPr>
          <w:rFonts w:asciiTheme="minorHAnsi" w:eastAsiaTheme="minorHAnsi" w:hAnsiTheme="minorHAnsi" w:cstheme="minorBidi"/>
          <w:sz w:val="22"/>
          <w:szCs w:val="22"/>
        </w:rPr>
        <w:t xml:space="preserve"> $</w:t>
      </w:r>
      <w:r>
        <w:rPr>
          <w:rFonts w:asciiTheme="minorHAnsi" w:eastAsiaTheme="minorHAnsi" w:hAnsiTheme="minorHAnsi" w:cstheme="minorBidi"/>
          <w:sz w:val="22"/>
          <w:szCs w:val="22"/>
        </w:rPr>
        <w:t>2.2 million in 2024/2</w:t>
      </w:r>
      <w:r w:rsidRPr="00EA2F26">
        <w:rPr>
          <w:rFonts w:asciiTheme="minorHAnsi" w:eastAsiaTheme="minorHAnsi" w:hAnsiTheme="minorHAnsi" w:cstheme="minorBidi"/>
          <w:sz w:val="22"/>
          <w:szCs w:val="22"/>
        </w:rPr>
        <w:t>5</w:t>
      </w:r>
      <w:r>
        <w:rPr>
          <w:rFonts w:asciiTheme="minorHAnsi" w:eastAsiaTheme="minorHAnsi" w:hAnsiTheme="minorHAnsi" w:cstheme="minorBidi"/>
          <w:sz w:val="22"/>
          <w:szCs w:val="22"/>
        </w:rPr>
        <w:t>,</w:t>
      </w:r>
      <w:r w:rsidRPr="00EA2F26">
        <w:rPr>
          <w:rFonts w:asciiTheme="minorHAnsi" w:eastAsiaTheme="minorHAnsi" w:hAnsiTheme="minorHAnsi" w:cstheme="minorBidi"/>
          <w:sz w:val="22"/>
          <w:szCs w:val="22"/>
        </w:rPr>
        <w:t xml:space="preserve"> equating to an average annual renewal cost of $</w:t>
      </w:r>
      <w:r>
        <w:rPr>
          <w:rFonts w:asciiTheme="minorHAnsi" w:eastAsiaTheme="minorHAnsi" w:hAnsiTheme="minorHAnsi" w:cstheme="minorBidi"/>
          <w:sz w:val="22"/>
          <w:szCs w:val="22"/>
        </w:rPr>
        <w:t>2.2 million</w:t>
      </w:r>
      <w:r w:rsidRPr="00EA2F26">
        <w:rPr>
          <w:rFonts w:asciiTheme="minorHAnsi" w:eastAsiaTheme="minorHAnsi" w:hAnsiTheme="minorHAnsi" w:cstheme="minorBidi"/>
          <w:sz w:val="22"/>
          <w:szCs w:val="22"/>
        </w:rPr>
        <w:t xml:space="preserve"> over the next 10 years. </w:t>
      </w:r>
      <w:r>
        <w:rPr>
          <w:rFonts w:asciiTheme="minorHAnsi" w:eastAsiaTheme="minorHAnsi" w:hAnsiTheme="minorHAnsi" w:cstheme="minorBidi"/>
          <w:sz w:val="22"/>
          <w:szCs w:val="22"/>
        </w:rPr>
        <w:t>Council</w:t>
      </w:r>
      <w:r w:rsidRPr="00EA2F26">
        <w:rPr>
          <w:rFonts w:asciiTheme="minorHAnsi" w:eastAsiaTheme="minorHAnsi" w:hAnsiTheme="minorHAnsi" w:cstheme="minorBidi"/>
          <w:sz w:val="22"/>
          <w:szCs w:val="22"/>
        </w:rPr>
        <w:t xml:space="preserve"> is committed to meeting the renewal demand by annually updating the Long Term Financial Plan</w:t>
      </w:r>
      <w:r>
        <w:rPr>
          <w:rFonts w:asciiTheme="minorHAnsi" w:eastAsiaTheme="minorHAnsi" w:hAnsiTheme="minorHAnsi" w:cstheme="minorBidi"/>
          <w:sz w:val="22"/>
          <w:szCs w:val="22"/>
        </w:rPr>
        <w:t xml:space="preserve"> (LTFP)</w:t>
      </w:r>
      <w:r w:rsidRPr="00EA2F26">
        <w:rPr>
          <w:rFonts w:asciiTheme="minorHAnsi" w:eastAsiaTheme="minorHAnsi" w:hAnsiTheme="minorHAnsi" w:cstheme="minorBidi"/>
          <w:sz w:val="22"/>
          <w:szCs w:val="22"/>
        </w:rPr>
        <w:t xml:space="preserve"> with current renewal forecasts. Bayside does not have a renewal gap or backlog of renewal works to address if recreation and open space assets remain in their current state.</w:t>
      </w:r>
    </w:p>
    <w:p w:rsidR="00D02973" w:rsidRPr="00EA2F26" w:rsidRDefault="00D02973" w:rsidP="00D02973">
      <w:pPr>
        <w:pStyle w:val="CTAMPBody"/>
        <w:spacing w:after="200" w:line="276" w:lineRule="auto"/>
        <w:rPr>
          <w:rFonts w:asciiTheme="minorHAnsi" w:eastAsiaTheme="minorHAnsi" w:hAnsiTheme="minorHAnsi" w:cstheme="minorBidi"/>
          <w:b/>
          <w:sz w:val="22"/>
          <w:szCs w:val="22"/>
        </w:rPr>
      </w:pPr>
      <w:r w:rsidRPr="00EA2F26">
        <w:rPr>
          <w:rFonts w:asciiTheme="minorHAnsi" w:eastAsiaTheme="minorHAnsi" w:hAnsiTheme="minorHAnsi" w:cstheme="minorBidi"/>
          <w:b/>
          <w:sz w:val="22"/>
          <w:szCs w:val="22"/>
        </w:rPr>
        <w:t>Drivers for Improved Levels of Service</w:t>
      </w:r>
    </w:p>
    <w:p w:rsidR="00D02973" w:rsidRDefault="00D02973" w:rsidP="00D02973">
      <w:pPr>
        <w:autoSpaceDE w:val="0"/>
        <w:autoSpaceDN w:val="0"/>
        <w:adjustRightInd w:val="0"/>
        <w:rPr>
          <w:rFonts w:cs="Times New Roman"/>
        </w:rPr>
      </w:pPr>
      <w:r>
        <w:rPr>
          <w:rFonts w:cs="Times New Roman"/>
        </w:rPr>
        <w:t xml:space="preserve">Asset Upgrade Strategies guide investment into improving the level of service provided by recreation and open space assets. Several drivers for improved asset-based services that influence the settings within the LTFP are listed below: </w:t>
      </w:r>
    </w:p>
    <w:p w:rsidR="00D02973" w:rsidRPr="00EA2F26" w:rsidRDefault="00D02973" w:rsidP="00D02973">
      <w:pPr>
        <w:autoSpaceDE w:val="0"/>
        <w:autoSpaceDN w:val="0"/>
        <w:adjustRightInd w:val="0"/>
      </w:pPr>
      <w:r w:rsidRPr="00EA2F26">
        <w:rPr>
          <w:rFonts w:cs="Times New Roman"/>
        </w:rPr>
        <w:t xml:space="preserve">The </w:t>
      </w:r>
      <w:r w:rsidRPr="00EA2F26">
        <w:rPr>
          <w:rFonts w:cs="Times New Roman"/>
          <w:i/>
        </w:rPr>
        <w:t xml:space="preserve">Bayside Open Space Strategy </w:t>
      </w:r>
      <w:r w:rsidRPr="00EA2F26">
        <w:rPr>
          <w:rFonts w:cs="Times New Roman"/>
        </w:rPr>
        <w:t xml:space="preserve">sets out </w:t>
      </w:r>
      <w:r>
        <w:rPr>
          <w:rFonts w:cs="Times New Roman"/>
        </w:rPr>
        <w:t>Council’s</w:t>
      </w:r>
      <w:r w:rsidRPr="00EA2F26">
        <w:rPr>
          <w:rFonts w:cs="Times New Roman"/>
        </w:rPr>
        <w:t xml:space="preserve"> direction for </w:t>
      </w:r>
      <w:r>
        <w:rPr>
          <w:rFonts w:cs="Times New Roman"/>
        </w:rPr>
        <w:t>community open space management</w:t>
      </w:r>
      <w:r w:rsidRPr="00EA2F26">
        <w:rPr>
          <w:rFonts w:cs="Times New Roman"/>
        </w:rPr>
        <w:t xml:space="preserve"> </w:t>
      </w:r>
      <w:r>
        <w:rPr>
          <w:rFonts w:cs="Times New Roman"/>
        </w:rPr>
        <w:t>over the next decade. The OSS</w:t>
      </w:r>
      <w:r w:rsidRPr="00EA2F26">
        <w:t xml:space="preserve"> </w:t>
      </w:r>
      <w:r>
        <w:t xml:space="preserve">is a 20 year planning document for the period </w:t>
      </w:r>
      <w:r w:rsidRPr="00EA2F26">
        <w:t>2012</w:t>
      </w:r>
      <w:r>
        <w:t>-2032</w:t>
      </w:r>
      <w:r w:rsidRPr="00EA2F26">
        <w:t xml:space="preserve">. It provides </w:t>
      </w:r>
      <w:r>
        <w:t xml:space="preserve">a </w:t>
      </w:r>
      <w:r w:rsidRPr="00EA2F26">
        <w:t xml:space="preserve">policy </w:t>
      </w:r>
      <w:r>
        <w:t xml:space="preserve">position </w:t>
      </w:r>
      <w:r w:rsidRPr="00EA2F26">
        <w:t xml:space="preserve">and strategy to </w:t>
      </w:r>
      <w:r>
        <w:t>guide</w:t>
      </w:r>
      <w:r w:rsidRPr="00EA2F26">
        <w:t xml:space="preserve"> decisions about ho</w:t>
      </w:r>
      <w:r>
        <w:t xml:space="preserve">w open space is used, developed, </w:t>
      </w:r>
      <w:r w:rsidRPr="00EA2F26">
        <w:t xml:space="preserve">managed and maintained across the municipality. Both the R&amp;OS-AMP and OSS inform </w:t>
      </w:r>
      <w:r>
        <w:t>Council</w:t>
      </w:r>
      <w:r w:rsidRPr="00EA2F26">
        <w:t xml:space="preserve">’s Long Term Financial Plan to sustain and enhance Bayside open space and provide a link </w:t>
      </w:r>
      <w:r w:rsidRPr="00EA2F26">
        <w:lastRenderedPageBreak/>
        <w:t xml:space="preserve">between strategic planning and the practical, operational delivery and management of </w:t>
      </w:r>
      <w:r>
        <w:t>Council</w:t>
      </w:r>
      <w:r w:rsidRPr="00EA2F26">
        <w:t xml:space="preserve"> managed parks, trails and reserves. </w:t>
      </w:r>
    </w:p>
    <w:p w:rsidR="00D02973" w:rsidRPr="00EA2F26" w:rsidRDefault="00D02973" w:rsidP="00D02973">
      <w:pPr>
        <w:spacing w:before="80"/>
        <w:jc w:val="both"/>
        <w:rPr>
          <w:rFonts w:eastAsia="Calibri" w:cs="Calibri"/>
          <w:lang w:eastAsia="en-AU"/>
        </w:rPr>
      </w:pPr>
      <w:r w:rsidRPr="00EA2F26">
        <w:rPr>
          <w:rFonts w:eastAsia="Calibri" w:cs="Calibri"/>
          <w:lang w:eastAsia="en-AU"/>
        </w:rPr>
        <w:t xml:space="preserve">The </w:t>
      </w:r>
      <w:r>
        <w:rPr>
          <w:rFonts w:eastAsia="Calibri" w:cs="Calibri"/>
          <w:i/>
          <w:lang w:eastAsia="en-AU"/>
        </w:rPr>
        <w:t>Active By T</w:t>
      </w:r>
      <w:r w:rsidRPr="00EA2F26">
        <w:rPr>
          <w:rFonts w:eastAsia="Calibri" w:cs="Calibri"/>
          <w:i/>
          <w:lang w:eastAsia="en-AU"/>
        </w:rPr>
        <w:t>he Bay</w:t>
      </w:r>
      <w:r w:rsidRPr="00EA2F26">
        <w:rPr>
          <w:rFonts w:eastAsia="Calibri" w:cs="Calibri"/>
          <w:lang w:eastAsia="en-AU"/>
        </w:rPr>
        <w:t xml:space="preserve"> recreation strategy guides the planning, management and provision of </w:t>
      </w:r>
      <w:r>
        <w:rPr>
          <w:rFonts w:eastAsia="Calibri" w:cs="Calibri"/>
          <w:lang w:eastAsia="en-AU"/>
        </w:rPr>
        <w:t xml:space="preserve">Bayside’s </w:t>
      </w:r>
      <w:r w:rsidRPr="00EA2F26">
        <w:rPr>
          <w:rFonts w:eastAsia="Calibri" w:cs="Calibri"/>
          <w:lang w:eastAsia="en-AU"/>
        </w:rPr>
        <w:t xml:space="preserve">recreation facilities and services for </w:t>
      </w:r>
      <w:r>
        <w:rPr>
          <w:rFonts w:eastAsia="Calibri" w:cs="Calibri"/>
          <w:lang w:eastAsia="en-AU"/>
        </w:rPr>
        <w:t xml:space="preserve">the period </w:t>
      </w:r>
      <w:r w:rsidRPr="00EA2F26">
        <w:rPr>
          <w:rFonts w:eastAsia="Calibri" w:cs="Calibri"/>
          <w:lang w:eastAsia="en-AU"/>
        </w:rPr>
        <w:t xml:space="preserve">2013-2022. The strategy </w:t>
      </w:r>
      <w:r>
        <w:rPr>
          <w:rFonts w:eastAsia="Calibri" w:cs="Calibri"/>
          <w:lang w:eastAsia="en-AU"/>
        </w:rPr>
        <w:t>considers the</w:t>
      </w:r>
      <w:r w:rsidRPr="00EA2F26">
        <w:rPr>
          <w:rFonts w:eastAsia="Calibri" w:cs="Calibri"/>
          <w:lang w:eastAsia="en-AU"/>
        </w:rPr>
        <w:t xml:space="preserve"> demographic </w:t>
      </w:r>
      <w:r>
        <w:rPr>
          <w:rFonts w:eastAsia="Calibri" w:cs="Calibri"/>
          <w:lang w:eastAsia="en-AU"/>
        </w:rPr>
        <w:t>trends within</w:t>
      </w:r>
      <w:r w:rsidRPr="00EA2F26">
        <w:rPr>
          <w:rFonts w:eastAsia="Calibri" w:cs="Calibri"/>
          <w:lang w:eastAsia="en-AU"/>
        </w:rPr>
        <w:t xml:space="preserve"> </w:t>
      </w:r>
      <w:r>
        <w:rPr>
          <w:rFonts w:eastAsia="Calibri" w:cs="Calibri"/>
          <w:lang w:eastAsia="en-AU"/>
        </w:rPr>
        <w:t>the municipality</w:t>
      </w:r>
      <w:r w:rsidRPr="00EA2F26">
        <w:rPr>
          <w:rFonts w:eastAsia="Calibri" w:cs="Calibri"/>
          <w:lang w:eastAsia="en-AU"/>
        </w:rPr>
        <w:t xml:space="preserve">, analysis of relevant </w:t>
      </w:r>
      <w:r>
        <w:rPr>
          <w:rFonts w:eastAsia="Calibri" w:cs="Calibri"/>
          <w:lang w:eastAsia="en-AU"/>
        </w:rPr>
        <w:t>Council</w:t>
      </w:r>
      <w:r w:rsidRPr="00EA2F26">
        <w:rPr>
          <w:rFonts w:eastAsia="Calibri" w:cs="Calibri"/>
          <w:lang w:eastAsia="en-AU"/>
        </w:rPr>
        <w:t xml:space="preserve"> and external strategy and policy documents, research into recreation trends and best practice at local, state and na</w:t>
      </w:r>
      <w:r w:rsidRPr="00EA2F26">
        <w:rPr>
          <w:rFonts w:eastAsia="Calibri" w:cs="Calibri"/>
          <w:b/>
          <w:lang w:eastAsia="en-AU"/>
        </w:rPr>
        <w:t>t</w:t>
      </w:r>
      <w:r w:rsidRPr="00EA2F26">
        <w:rPr>
          <w:rFonts w:eastAsia="Calibri" w:cs="Calibri"/>
          <w:lang w:eastAsia="en-AU"/>
        </w:rPr>
        <w:t>ional levels and extensive engagement with the community</w:t>
      </w:r>
      <w:r>
        <w:rPr>
          <w:rFonts w:eastAsia="Calibri" w:cs="Calibri"/>
          <w:lang w:eastAsia="en-AU"/>
        </w:rPr>
        <w:t>,</w:t>
      </w:r>
      <w:r w:rsidRPr="00EA2F26">
        <w:rPr>
          <w:rFonts w:eastAsia="Calibri" w:cs="Calibri"/>
          <w:lang w:eastAsia="en-AU"/>
        </w:rPr>
        <w:t xml:space="preserve"> including residents and recreation and sporting groups.  The strategy identified and ranked a range of infrastructure works and include</w:t>
      </w:r>
      <w:r>
        <w:rPr>
          <w:rFonts w:eastAsia="Calibri" w:cs="Calibri"/>
          <w:lang w:eastAsia="en-AU"/>
        </w:rPr>
        <w:t>s</w:t>
      </w:r>
      <w:r w:rsidRPr="00EA2F26">
        <w:rPr>
          <w:rFonts w:eastAsia="Calibri" w:cs="Calibri"/>
          <w:lang w:eastAsia="en-AU"/>
        </w:rPr>
        <w:t xml:space="preserve"> the renewal and upgrades to cricket nets, floodlighting and sportsground surfaces. </w:t>
      </w:r>
    </w:p>
    <w:p w:rsidR="00D02973" w:rsidRPr="00EA2F26" w:rsidRDefault="00D02973" w:rsidP="00D02973">
      <w:pPr>
        <w:spacing w:before="80"/>
        <w:rPr>
          <w:rFonts w:eastAsia="Calibri" w:cs="Calibri"/>
          <w:lang w:eastAsia="en-AU"/>
        </w:rPr>
      </w:pPr>
      <w:r w:rsidRPr="00EA2F26">
        <w:t xml:space="preserve">The </w:t>
      </w:r>
      <w:r w:rsidRPr="00EA2F26">
        <w:rPr>
          <w:i/>
        </w:rPr>
        <w:t>Playground Improvement Plan</w:t>
      </w:r>
      <w:r w:rsidRPr="00EA2F26">
        <w:t xml:space="preserve"> sets out </w:t>
      </w:r>
      <w:r>
        <w:t>Council’</w:t>
      </w:r>
      <w:r w:rsidRPr="00EA2F26">
        <w:t>s approach to the renewal and upgrade of its 66 playgrounds.</w:t>
      </w:r>
      <w:r>
        <w:rPr>
          <w:rFonts w:eastAsia="Calibri" w:cs="Calibri"/>
          <w:lang w:eastAsia="en-AU"/>
        </w:rPr>
        <w:t xml:space="preserve"> </w:t>
      </w:r>
      <w:r w:rsidRPr="00EA2F26">
        <w:rPr>
          <w:rFonts w:eastAsia="Calibri" w:cs="Calibri"/>
          <w:lang w:eastAsia="en-AU"/>
        </w:rPr>
        <w:t xml:space="preserve">While acknowledging that children play in a range of open space environments (including local parks, the beach, or beside a lake) the report focuses on built playgrounds. It develops a number of policy statements to assist </w:t>
      </w:r>
      <w:r>
        <w:rPr>
          <w:rFonts w:eastAsia="Calibri" w:cs="Calibri"/>
          <w:lang w:eastAsia="en-AU"/>
        </w:rPr>
        <w:t>Council</w:t>
      </w:r>
      <w:r w:rsidRPr="00EA2F26">
        <w:rPr>
          <w:rFonts w:eastAsia="Calibri" w:cs="Calibri"/>
          <w:lang w:eastAsia="en-AU"/>
        </w:rPr>
        <w:t xml:space="preserve"> in making decisions about future provision. </w:t>
      </w:r>
    </w:p>
    <w:p w:rsidR="00D02973" w:rsidRPr="00EA2F26" w:rsidRDefault="00D02973" w:rsidP="00D02973">
      <w:pPr>
        <w:tabs>
          <w:tab w:val="left" w:pos="217"/>
        </w:tabs>
        <w:spacing w:before="80"/>
        <w:jc w:val="both"/>
        <w:rPr>
          <w:rFonts w:eastAsia="Calibri" w:cs="Calibri"/>
          <w:lang w:eastAsia="en-AU"/>
        </w:rPr>
      </w:pPr>
      <w:r w:rsidRPr="00EA2F26">
        <w:rPr>
          <w:rFonts w:eastAsia="Calibri" w:cs="Calibri"/>
          <w:lang w:eastAsia="en-AU"/>
        </w:rPr>
        <w:t xml:space="preserve">The </w:t>
      </w:r>
      <w:r w:rsidRPr="00EA2F26">
        <w:rPr>
          <w:rFonts w:eastAsia="Calibri" w:cs="Calibri"/>
          <w:i/>
          <w:lang w:eastAsia="en-AU"/>
        </w:rPr>
        <w:t>Coastal Management Plan</w:t>
      </w:r>
      <w:r w:rsidRPr="00EA2F26">
        <w:rPr>
          <w:rFonts w:eastAsia="Calibri" w:cs="Calibri"/>
          <w:lang w:eastAsia="en-AU"/>
        </w:rPr>
        <w:t xml:space="preserve"> provides strategic direction and policy on coastal use, management and development for the foreshore area. The strategy provide</w:t>
      </w:r>
      <w:r>
        <w:rPr>
          <w:rFonts w:eastAsia="Calibri" w:cs="Calibri"/>
          <w:lang w:eastAsia="en-AU"/>
        </w:rPr>
        <w:t>s a</w:t>
      </w:r>
      <w:r w:rsidRPr="00EA2F26">
        <w:rPr>
          <w:rFonts w:eastAsia="Calibri" w:cs="Calibri"/>
          <w:lang w:eastAsia="en-AU"/>
        </w:rPr>
        <w:t xml:space="preserve"> long term strategic vision for Bayside</w:t>
      </w:r>
      <w:r>
        <w:rPr>
          <w:rFonts w:eastAsia="Calibri" w:cs="Calibri"/>
          <w:lang w:eastAsia="en-AU"/>
        </w:rPr>
        <w:t>’s</w:t>
      </w:r>
      <w:r w:rsidRPr="00EA2F26">
        <w:rPr>
          <w:rFonts w:eastAsia="Calibri" w:cs="Calibri"/>
          <w:lang w:eastAsia="en-AU"/>
        </w:rPr>
        <w:t xml:space="preserve"> foreshore</w:t>
      </w:r>
      <w:r>
        <w:rPr>
          <w:rFonts w:eastAsia="Calibri" w:cs="Calibri"/>
          <w:lang w:eastAsia="en-AU"/>
        </w:rPr>
        <w:t xml:space="preserve"> to Port Phillip Bay and </w:t>
      </w:r>
      <w:r w:rsidRPr="00EA2F26">
        <w:rPr>
          <w:rFonts w:eastAsia="Calibri" w:cs="Calibri"/>
          <w:lang w:eastAsia="en-AU"/>
        </w:rPr>
        <w:t>formalises the 11 foreshore precinct areas features and opportunities. A detailed action plan will be prepared for each of the 11 foreshore precincts. Several plans have already been prepared, and a number are being prepared for completion in 2016.</w:t>
      </w:r>
    </w:p>
    <w:p w:rsidR="00D02973" w:rsidRDefault="00D02973" w:rsidP="00D02973">
      <w:pPr>
        <w:pStyle w:val="CTAMPBody"/>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Another planned Asset Upgrade Strategy to be included in a future revision of this document will be the </w:t>
      </w:r>
      <w:r w:rsidRPr="00EA2F26">
        <w:rPr>
          <w:rFonts w:asciiTheme="minorHAnsi" w:eastAsiaTheme="minorHAnsi" w:hAnsiTheme="minorHAnsi" w:cstheme="minorBidi"/>
          <w:sz w:val="22"/>
          <w:szCs w:val="22"/>
        </w:rPr>
        <w:t>Tennis Strategy</w:t>
      </w:r>
      <w:r>
        <w:rPr>
          <w:rFonts w:asciiTheme="minorHAnsi" w:eastAsiaTheme="minorHAnsi" w:hAnsiTheme="minorHAnsi" w:cstheme="minorBidi"/>
          <w:sz w:val="22"/>
          <w:szCs w:val="22"/>
        </w:rPr>
        <w:t>, including a regional tennis centre feasibility study</w:t>
      </w:r>
      <w:r w:rsidRPr="00EA2F26">
        <w:rPr>
          <w:rFonts w:asciiTheme="minorHAnsi" w:eastAsiaTheme="minorHAnsi" w:hAnsiTheme="minorHAnsi" w:cstheme="minorBidi"/>
          <w:sz w:val="22"/>
          <w:szCs w:val="22"/>
        </w:rPr>
        <w:t>.</w:t>
      </w:r>
    </w:p>
    <w:p w:rsidR="00D02973" w:rsidRPr="00EA2F26" w:rsidRDefault="00D02973" w:rsidP="00D02973">
      <w:pPr>
        <w:pStyle w:val="CTAMPBody"/>
        <w:spacing w:after="200" w:line="276" w:lineRule="auto"/>
        <w:rPr>
          <w:rFonts w:asciiTheme="minorHAnsi" w:eastAsiaTheme="minorHAnsi" w:hAnsiTheme="minorHAnsi" w:cstheme="minorBidi"/>
          <w:sz w:val="22"/>
          <w:szCs w:val="22"/>
        </w:rPr>
      </w:pPr>
      <w:r w:rsidRPr="00EA2F26">
        <w:rPr>
          <w:rFonts w:asciiTheme="minorHAnsi" w:eastAsiaTheme="minorHAnsi" w:hAnsiTheme="minorHAnsi" w:cstheme="minorBidi"/>
          <w:sz w:val="22"/>
          <w:szCs w:val="22"/>
        </w:rPr>
        <w:t xml:space="preserve">To ensure its services demonstrate best value to the Bayside community, </w:t>
      </w:r>
      <w:r>
        <w:rPr>
          <w:rFonts w:asciiTheme="minorHAnsi" w:eastAsiaTheme="minorHAnsi" w:hAnsiTheme="minorHAnsi" w:cstheme="minorBidi"/>
          <w:sz w:val="22"/>
          <w:szCs w:val="22"/>
        </w:rPr>
        <w:t>Council</w:t>
      </w:r>
      <w:r w:rsidRPr="00EA2F26">
        <w:rPr>
          <w:rFonts w:asciiTheme="minorHAnsi" w:eastAsiaTheme="minorHAnsi" w:hAnsiTheme="minorHAnsi" w:cstheme="minorBidi"/>
          <w:sz w:val="22"/>
          <w:szCs w:val="22"/>
        </w:rPr>
        <w:t xml:space="preserve"> commenced a rolling program of Strategic Service Reviews (SSRs) in 2014 and currently aims to complete four SSRs per annum. The six SSRs completed to date include:</w:t>
      </w:r>
    </w:p>
    <w:p w:rsidR="00D02973" w:rsidRPr="00EA2F26" w:rsidRDefault="00D02973" w:rsidP="00D02973">
      <w:pPr>
        <w:pStyle w:val="ListParagraph"/>
        <w:numPr>
          <w:ilvl w:val="0"/>
          <w:numId w:val="24"/>
        </w:numPr>
      </w:pPr>
      <w:r w:rsidRPr="00EA2F26">
        <w:t>Home and Community Aged Care</w:t>
      </w:r>
    </w:p>
    <w:p w:rsidR="00D02973" w:rsidRPr="00EA2F26" w:rsidRDefault="00D02973" w:rsidP="00D02973">
      <w:pPr>
        <w:pStyle w:val="ListParagraph"/>
        <w:numPr>
          <w:ilvl w:val="0"/>
          <w:numId w:val="24"/>
        </w:numPr>
      </w:pPr>
      <w:r w:rsidRPr="00EA2F26">
        <w:t>Statutory Planning</w:t>
      </w:r>
    </w:p>
    <w:p w:rsidR="00D02973" w:rsidRPr="00EA2F26" w:rsidRDefault="00D02973" w:rsidP="00D02973">
      <w:pPr>
        <w:pStyle w:val="ListParagraph"/>
        <w:numPr>
          <w:ilvl w:val="0"/>
          <w:numId w:val="24"/>
        </w:numPr>
      </w:pPr>
      <w:r w:rsidRPr="00EA2F26">
        <w:t>Arts and Culture</w:t>
      </w:r>
    </w:p>
    <w:p w:rsidR="00D02973" w:rsidRPr="00EA2F26" w:rsidRDefault="00D02973" w:rsidP="00D02973">
      <w:pPr>
        <w:pStyle w:val="ListParagraph"/>
        <w:numPr>
          <w:ilvl w:val="0"/>
          <w:numId w:val="24"/>
        </w:numPr>
      </w:pPr>
      <w:r w:rsidRPr="00EA2F26">
        <w:t>Youth Services</w:t>
      </w:r>
    </w:p>
    <w:p w:rsidR="00D02973" w:rsidRPr="00EA2F26" w:rsidRDefault="00D02973" w:rsidP="00D02973">
      <w:pPr>
        <w:pStyle w:val="ListParagraph"/>
        <w:numPr>
          <w:ilvl w:val="0"/>
          <w:numId w:val="24"/>
        </w:numPr>
        <w:ind w:left="714" w:hanging="357"/>
        <w:contextualSpacing w:val="0"/>
      </w:pPr>
      <w:r w:rsidRPr="00EA2F26">
        <w:t>Maternal and Child Health</w:t>
      </w:r>
      <w:r>
        <w:t>.</w:t>
      </w:r>
    </w:p>
    <w:p w:rsidR="00D02973" w:rsidRPr="00EA2F26" w:rsidRDefault="00D02973" w:rsidP="00D02973">
      <w:pPr>
        <w:pStyle w:val="CTAMPBody"/>
        <w:spacing w:before="240" w:after="200" w:line="276" w:lineRule="auto"/>
        <w:rPr>
          <w:rFonts w:asciiTheme="minorHAnsi" w:eastAsiaTheme="minorHAnsi" w:hAnsiTheme="minorHAnsi" w:cstheme="minorBidi"/>
          <w:b/>
          <w:sz w:val="22"/>
          <w:szCs w:val="22"/>
        </w:rPr>
      </w:pPr>
      <w:r w:rsidRPr="00EA2F26">
        <w:rPr>
          <w:rFonts w:asciiTheme="minorHAnsi" w:eastAsiaTheme="minorHAnsi" w:hAnsiTheme="minorHAnsi" w:cstheme="minorBidi"/>
          <w:b/>
          <w:sz w:val="22"/>
          <w:szCs w:val="22"/>
        </w:rPr>
        <w:t>Improvement Plan</w:t>
      </w:r>
    </w:p>
    <w:p w:rsidR="00D02973" w:rsidRPr="00EA2F26" w:rsidRDefault="00D02973" w:rsidP="00D02973">
      <w:pPr>
        <w:pStyle w:val="CTAMPBody"/>
        <w:spacing w:before="240" w:after="200" w:line="276" w:lineRule="auto"/>
        <w:rPr>
          <w:rFonts w:asciiTheme="minorHAnsi" w:eastAsiaTheme="minorHAnsi" w:hAnsiTheme="minorHAnsi" w:cstheme="minorBidi"/>
          <w:sz w:val="22"/>
          <w:szCs w:val="22"/>
        </w:rPr>
      </w:pPr>
      <w:r w:rsidRPr="00EA2F26">
        <w:rPr>
          <w:rFonts w:asciiTheme="minorHAnsi" w:eastAsiaTheme="minorHAnsi" w:hAnsiTheme="minorHAnsi" w:cstheme="minorBidi"/>
          <w:sz w:val="22"/>
          <w:szCs w:val="22"/>
        </w:rPr>
        <w:t>This R&amp;OS</w:t>
      </w:r>
      <w:r w:rsidRPr="00EA2F26">
        <w:rPr>
          <w:rFonts w:asciiTheme="minorHAnsi" w:hAnsiTheme="minorHAnsi" w:cs="Calibri"/>
          <w:color w:val="000000"/>
        </w:rPr>
        <w:t>-</w:t>
      </w:r>
      <w:r w:rsidRPr="00EA2F26">
        <w:rPr>
          <w:rFonts w:asciiTheme="minorHAnsi" w:eastAsiaTheme="minorHAnsi" w:hAnsiTheme="minorHAnsi" w:cstheme="minorBidi"/>
          <w:sz w:val="22"/>
          <w:szCs w:val="22"/>
        </w:rPr>
        <w:t xml:space="preserve">AMP includes an improvement plan (Section 7) with actions to address limitations in the scope of this AMP and drive improvements in asset management processes to ensure future versions of this document continue to support </w:t>
      </w:r>
      <w:r>
        <w:rPr>
          <w:rFonts w:asciiTheme="minorHAnsi" w:eastAsiaTheme="minorHAnsi" w:hAnsiTheme="minorHAnsi" w:cstheme="minorBidi"/>
          <w:sz w:val="22"/>
          <w:szCs w:val="22"/>
        </w:rPr>
        <w:t>Council</w:t>
      </w:r>
      <w:r w:rsidRPr="00EA2F26">
        <w:rPr>
          <w:rFonts w:asciiTheme="minorHAnsi" w:eastAsiaTheme="minorHAnsi" w:hAnsiTheme="minorHAnsi" w:cstheme="minorBidi"/>
          <w:sz w:val="22"/>
          <w:szCs w:val="22"/>
        </w:rPr>
        <w:t>’s commitment to long term financial responsibility and the provision of affordable long term recreation and open space infrastructure-based services that meet the needs of the Bayside community. Improvement</w:t>
      </w:r>
      <w:r>
        <w:rPr>
          <w:rFonts w:asciiTheme="minorHAnsi" w:eastAsiaTheme="minorHAnsi" w:hAnsiTheme="minorHAnsi" w:cstheme="minorBidi"/>
          <w:sz w:val="22"/>
          <w:szCs w:val="22"/>
        </w:rPr>
        <w:t xml:space="preserve"> actions list include</w:t>
      </w:r>
      <w:r w:rsidRPr="00EA2F26">
        <w:rPr>
          <w:rFonts w:asciiTheme="minorHAnsi" w:eastAsiaTheme="minorHAnsi" w:hAnsiTheme="minorHAnsi" w:cstheme="minorBidi"/>
          <w:sz w:val="22"/>
          <w:szCs w:val="22"/>
        </w:rPr>
        <w:t>:</w:t>
      </w:r>
    </w:p>
    <w:p w:rsidR="00D02973" w:rsidRPr="00EA2F26" w:rsidRDefault="00D02973" w:rsidP="00D02973">
      <w:pPr>
        <w:pStyle w:val="CTAMPBody"/>
        <w:numPr>
          <w:ilvl w:val="0"/>
          <w:numId w:val="42"/>
        </w:numPr>
        <w:spacing w:after="0" w:line="276" w:lineRule="auto"/>
        <w:rPr>
          <w:rFonts w:asciiTheme="minorHAnsi" w:eastAsiaTheme="minorHAnsi" w:hAnsiTheme="minorHAnsi" w:cstheme="minorBidi"/>
          <w:sz w:val="22"/>
          <w:szCs w:val="22"/>
        </w:rPr>
      </w:pPr>
      <w:r w:rsidRPr="00EA2F26">
        <w:rPr>
          <w:rFonts w:asciiTheme="minorHAnsi" w:eastAsiaTheme="minorHAnsi" w:hAnsiTheme="minorHAnsi" w:cstheme="minorBidi"/>
          <w:sz w:val="22"/>
          <w:szCs w:val="22"/>
        </w:rPr>
        <w:t>Continue to develop and cross reference Asset Upgrade Strategies, Place-based Strategies and undertake Strategic Service Reviews</w:t>
      </w:r>
      <w:r>
        <w:rPr>
          <w:rFonts w:asciiTheme="minorHAnsi" w:eastAsiaTheme="minorHAnsi" w:hAnsiTheme="minorHAnsi" w:cstheme="minorBidi"/>
          <w:sz w:val="22"/>
          <w:szCs w:val="22"/>
        </w:rPr>
        <w:t xml:space="preserve"> that document the future service needs for recreation and open space infrastructure</w:t>
      </w:r>
      <w:r w:rsidRPr="00EA2F26">
        <w:rPr>
          <w:rFonts w:asciiTheme="minorHAnsi" w:eastAsiaTheme="minorHAnsi" w:hAnsiTheme="minorHAnsi" w:cstheme="minorBidi"/>
          <w:sz w:val="22"/>
          <w:szCs w:val="22"/>
        </w:rPr>
        <w:t>.</w:t>
      </w:r>
    </w:p>
    <w:p w:rsidR="00D02973" w:rsidRPr="00EA2F26" w:rsidRDefault="00D02973" w:rsidP="00D02973">
      <w:pPr>
        <w:pStyle w:val="CTAMPBody"/>
        <w:numPr>
          <w:ilvl w:val="0"/>
          <w:numId w:val="42"/>
        </w:numPr>
        <w:spacing w:after="0" w:line="276" w:lineRule="auto"/>
        <w:rPr>
          <w:rFonts w:asciiTheme="minorHAnsi" w:eastAsiaTheme="minorHAnsi" w:hAnsiTheme="minorHAnsi" w:cstheme="minorBidi"/>
          <w:sz w:val="22"/>
          <w:szCs w:val="22"/>
        </w:rPr>
      </w:pPr>
      <w:r w:rsidRPr="00EA2F26">
        <w:rPr>
          <w:rFonts w:asciiTheme="minorHAnsi" w:eastAsiaTheme="minorHAnsi" w:hAnsiTheme="minorHAnsi" w:cstheme="minorBidi"/>
          <w:sz w:val="22"/>
          <w:szCs w:val="22"/>
        </w:rPr>
        <w:lastRenderedPageBreak/>
        <w:t xml:space="preserve">Continue to clarify and review maintenance and renewal arrangements for lease and tenancy agreements and assess their impact on </w:t>
      </w:r>
      <w:r>
        <w:rPr>
          <w:rFonts w:asciiTheme="minorHAnsi" w:eastAsiaTheme="minorHAnsi" w:hAnsiTheme="minorHAnsi" w:cstheme="minorBidi"/>
          <w:sz w:val="22"/>
          <w:szCs w:val="22"/>
        </w:rPr>
        <w:t xml:space="preserve">financial forecasts produced by </w:t>
      </w:r>
      <w:r w:rsidRPr="00EA2F26">
        <w:rPr>
          <w:rFonts w:asciiTheme="minorHAnsi" w:eastAsiaTheme="minorHAnsi" w:hAnsiTheme="minorHAnsi" w:cstheme="minorBidi"/>
          <w:sz w:val="22"/>
          <w:szCs w:val="22"/>
        </w:rPr>
        <w:t xml:space="preserve">Moloney Modelling and </w:t>
      </w:r>
      <w:r>
        <w:rPr>
          <w:rFonts w:asciiTheme="minorHAnsi" w:eastAsiaTheme="minorHAnsi" w:hAnsiTheme="minorHAnsi" w:cstheme="minorBidi"/>
          <w:sz w:val="22"/>
          <w:szCs w:val="22"/>
        </w:rPr>
        <w:t xml:space="preserve">documented in </w:t>
      </w:r>
      <w:r w:rsidRPr="00EA2F26">
        <w:rPr>
          <w:rFonts w:asciiTheme="minorHAnsi" w:eastAsiaTheme="minorHAnsi" w:hAnsiTheme="minorHAnsi" w:cstheme="minorBidi"/>
          <w:sz w:val="22"/>
          <w:szCs w:val="22"/>
        </w:rPr>
        <w:t xml:space="preserve">this R&amp;OS-AMP. </w:t>
      </w:r>
    </w:p>
    <w:p w:rsidR="00D02973" w:rsidRPr="00EA2F26" w:rsidRDefault="00D02973" w:rsidP="00D02973">
      <w:pPr>
        <w:pStyle w:val="CTAMPBody"/>
        <w:numPr>
          <w:ilvl w:val="0"/>
          <w:numId w:val="42"/>
        </w:numPr>
        <w:spacing w:after="0" w:line="276" w:lineRule="auto"/>
        <w:rPr>
          <w:rFonts w:asciiTheme="minorHAnsi" w:eastAsiaTheme="minorHAnsi" w:hAnsiTheme="minorHAnsi" w:cstheme="minorBidi"/>
          <w:sz w:val="22"/>
          <w:szCs w:val="22"/>
        </w:rPr>
      </w:pPr>
      <w:r w:rsidRPr="00EA2F26">
        <w:rPr>
          <w:rFonts w:asciiTheme="minorHAnsi" w:eastAsiaTheme="minorHAnsi" w:hAnsiTheme="minorHAnsi" w:cstheme="minorBidi"/>
          <w:sz w:val="22"/>
          <w:szCs w:val="22"/>
        </w:rPr>
        <w:t>Integration of Capital Valuation Record (CVR), Strategic Asset Management (SAM) and Geographic Information System (GIS). Align CVR with Authority and Moloney modelling.</w:t>
      </w:r>
    </w:p>
    <w:p w:rsidR="00D02973" w:rsidRDefault="00D02973" w:rsidP="00D02973">
      <w:pPr>
        <w:pStyle w:val="CTAMPBody"/>
        <w:numPr>
          <w:ilvl w:val="0"/>
          <w:numId w:val="42"/>
        </w:numPr>
        <w:spacing w:after="0" w:line="276" w:lineRule="auto"/>
        <w:rPr>
          <w:rFonts w:asciiTheme="minorHAnsi" w:eastAsiaTheme="minorHAnsi" w:hAnsiTheme="minorHAnsi" w:cstheme="minorBidi"/>
          <w:sz w:val="22"/>
          <w:szCs w:val="22"/>
        </w:rPr>
      </w:pPr>
      <w:r w:rsidRPr="00EA2F26">
        <w:rPr>
          <w:rFonts w:asciiTheme="minorHAnsi" w:eastAsiaTheme="minorHAnsi" w:hAnsiTheme="minorHAnsi" w:cstheme="minorBidi"/>
          <w:sz w:val="22"/>
          <w:szCs w:val="22"/>
        </w:rPr>
        <w:t>Undertake an assessment of structural assets and review lifecycle renewal implications.</w:t>
      </w:r>
    </w:p>
    <w:p w:rsidR="00D02973" w:rsidRDefault="00D02973" w:rsidP="00D02973">
      <w:pPr>
        <w:pStyle w:val="CTAMPBody"/>
        <w:numPr>
          <w:ilvl w:val="0"/>
          <w:numId w:val="42"/>
        </w:numPr>
        <w:spacing w:after="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Identify assets not addressed within the scope of this R&amp;OS-AMP based on a criticality assessment. </w:t>
      </w:r>
    </w:p>
    <w:p w:rsidR="00D02973" w:rsidRPr="00EA2F26" w:rsidRDefault="00D02973" w:rsidP="00D02973">
      <w:pPr>
        <w:pStyle w:val="CTAMPBody"/>
        <w:numPr>
          <w:ilvl w:val="0"/>
          <w:numId w:val="42"/>
        </w:numPr>
        <w:spacing w:after="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Determine a program and propose a renewal allocation in the Capital Works Program for trees</w:t>
      </w:r>
      <w:r w:rsidR="00DC4326">
        <w:rPr>
          <w:rFonts w:asciiTheme="minorHAnsi" w:eastAsiaTheme="minorHAnsi" w:hAnsiTheme="minorHAnsi" w:cstheme="minorBidi"/>
          <w:sz w:val="22"/>
          <w:szCs w:val="22"/>
        </w:rPr>
        <w:t>.</w:t>
      </w:r>
    </w:p>
    <w:p w:rsidR="00D02973" w:rsidRPr="00EA2F26" w:rsidRDefault="00D02973" w:rsidP="00D02973">
      <w:pPr>
        <w:pStyle w:val="CTAMPBody"/>
        <w:spacing w:after="200" w:line="276" w:lineRule="auto"/>
        <w:rPr>
          <w:rFonts w:asciiTheme="minorHAnsi" w:eastAsiaTheme="minorHAnsi" w:hAnsiTheme="minorHAnsi" w:cstheme="minorBidi"/>
          <w:sz w:val="22"/>
          <w:szCs w:val="22"/>
        </w:rPr>
      </w:pPr>
    </w:p>
    <w:p w:rsidR="00D02973" w:rsidRPr="00EA2F26" w:rsidRDefault="00D02973" w:rsidP="00D02973">
      <w:pPr>
        <w:rPr>
          <w:color w:val="FF0000"/>
        </w:rPr>
      </w:pPr>
      <w:r w:rsidRPr="00EA2F26">
        <w:rPr>
          <w:color w:val="0000CC"/>
          <w:sz w:val="40"/>
        </w:rPr>
        <w:br w:type="page"/>
      </w:r>
    </w:p>
    <w:p w:rsidR="00D02973" w:rsidRPr="00DF2FAC" w:rsidRDefault="00D02973" w:rsidP="00D02973">
      <w:pPr>
        <w:pStyle w:val="Heading1"/>
        <w:spacing w:before="0" w:after="200"/>
        <w:rPr>
          <w:rFonts w:asciiTheme="minorHAnsi" w:hAnsiTheme="minorHAnsi"/>
        </w:rPr>
      </w:pPr>
      <w:bookmarkStart w:id="3" w:name="_Toc448475160"/>
      <w:bookmarkEnd w:id="2"/>
      <w:r w:rsidRPr="00DF2FAC">
        <w:rPr>
          <w:rFonts w:asciiTheme="minorHAnsi" w:hAnsiTheme="minorHAnsi"/>
        </w:rPr>
        <w:lastRenderedPageBreak/>
        <w:t xml:space="preserve">1.0 </w:t>
      </w:r>
      <w:r w:rsidRPr="00DF2FAC">
        <w:rPr>
          <w:rFonts w:asciiTheme="minorHAnsi" w:hAnsiTheme="minorHAnsi"/>
        </w:rPr>
        <w:tab/>
        <w:t>Introduction</w:t>
      </w:r>
      <w:bookmarkEnd w:id="3"/>
    </w:p>
    <w:p w:rsidR="00D02973" w:rsidRPr="00DF2FAC" w:rsidRDefault="00D02973" w:rsidP="00D02973">
      <w:pPr>
        <w:pStyle w:val="Heading2"/>
        <w:spacing w:after="200"/>
        <w:rPr>
          <w:rFonts w:asciiTheme="minorHAnsi" w:hAnsiTheme="minorHAnsi"/>
          <w:color w:val="2E74B5" w:themeColor="accent1" w:themeShade="BF"/>
        </w:rPr>
      </w:pPr>
      <w:bookmarkStart w:id="4" w:name="_Toc448475161"/>
      <w:r w:rsidRPr="00DF2FAC">
        <w:rPr>
          <w:rFonts w:asciiTheme="minorHAnsi" w:hAnsiTheme="minorHAnsi"/>
          <w:color w:val="2E74B5" w:themeColor="accent1" w:themeShade="BF"/>
        </w:rPr>
        <w:t>1.1</w:t>
      </w:r>
      <w:r w:rsidRPr="00DF2FAC">
        <w:rPr>
          <w:rFonts w:asciiTheme="minorHAnsi" w:hAnsiTheme="minorHAnsi"/>
          <w:color w:val="2E74B5" w:themeColor="accent1" w:themeShade="BF"/>
        </w:rPr>
        <w:tab/>
        <w:t>Scope and Purpose</w:t>
      </w:r>
      <w:bookmarkEnd w:id="4"/>
    </w:p>
    <w:p w:rsidR="00D02973" w:rsidRPr="00EA2F26" w:rsidRDefault="00D02973" w:rsidP="00D02973">
      <w:pPr>
        <w:autoSpaceDE w:val="0"/>
        <w:autoSpaceDN w:val="0"/>
        <w:adjustRightInd w:val="0"/>
        <w:rPr>
          <w:rFonts w:cs="Calibri"/>
          <w:color w:val="000000"/>
        </w:rPr>
      </w:pPr>
      <w:r w:rsidRPr="00EA2F26">
        <w:rPr>
          <w:rFonts w:cs="Calibri"/>
          <w:color w:val="000000"/>
        </w:rPr>
        <w:t xml:space="preserve">The purpose of the Recreation and Open Space Asset Management Plan (R&amp;OS-AMP) is to document a robust business case for the continued investment into asset based recreation and open space services to the Bayside community. In this sense, this document is a </w:t>
      </w:r>
      <w:r w:rsidRPr="00EA2F26">
        <w:rPr>
          <w:rFonts w:cs="Calibri"/>
          <w:i/>
          <w:color w:val="000000"/>
        </w:rPr>
        <w:t>Service-Driven</w:t>
      </w:r>
      <w:r w:rsidRPr="00EA2F26">
        <w:rPr>
          <w:rFonts w:cs="Calibri"/>
          <w:color w:val="000000"/>
        </w:rPr>
        <w:t xml:space="preserve"> Asset Management Plan.</w:t>
      </w:r>
    </w:p>
    <w:p w:rsidR="00D02973" w:rsidRDefault="00D02973" w:rsidP="00D02973">
      <w:pPr>
        <w:autoSpaceDE w:val="0"/>
        <w:autoSpaceDN w:val="0"/>
        <w:adjustRightInd w:val="0"/>
      </w:pPr>
      <w:r w:rsidRPr="00EA2F26">
        <w:t xml:space="preserve">This document is used to inform decision making about </w:t>
      </w:r>
      <w:r>
        <w:t>Council</w:t>
      </w:r>
      <w:r w:rsidRPr="00EA2F26">
        <w:t xml:space="preserve">’s existing recreation and open space stock through a focus on improved asset data, the testing and validation of asset management assumptions and the prediction of long term financial renewal requirements. The R&amp;OS-AMP also includes the drivers for upgrading the capacity or performance of existing recreation and open space and the construction of new </w:t>
      </w:r>
      <w:r>
        <w:t>assets</w:t>
      </w:r>
      <w:r w:rsidRPr="00EA2F26">
        <w:t xml:space="preserve"> to improve the levels of service provided by recreation and open space infrastructure in the future. As a demonstration of </w:t>
      </w:r>
      <w:r>
        <w:t>Council</w:t>
      </w:r>
      <w:r w:rsidRPr="00EA2F26">
        <w:t xml:space="preserve">’s long term financial sustainability, the 10-year financial requirements for the operation and maintenance, renewal and upgrading of </w:t>
      </w:r>
      <w:r w:rsidRPr="00EA2F26">
        <w:rPr>
          <w:rFonts w:cs="Calibri"/>
          <w:color w:val="000000"/>
        </w:rPr>
        <w:t>Bayside’s</w:t>
      </w:r>
      <w:r w:rsidRPr="00EA2F26">
        <w:t xml:space="preserve"> existing recreation and open space assets in addition to the construction of new assets are presented in this document.</w:t>
      </w:r>
    </w:p>
    <w:p w:rsidR="00D02973" w:rsidRPr="008E2441" w:rsidRDefault="00D02973" w:rsidP="00D02973">
      <w:pPr>
        <w:autoSpaceDE w:val="0"/>
        <w:autoSpaceDN w:val="0"/>
        <w:adjustRightInd w:val="0"/>
        <w:rPr>
          <w:rFonts w:cs="Calibri"/>
          <w:color w:val="000000"/>
        </w:rPr>
      </w:pPr>
      <w:r w:rsidRPr="00EA2F26">
        <w:rPr>
          <w:rFonts w:cs="Calibri"/>
          <w:color w:val="000000"/>
        </w:rPr>
        <w:t xml:space="preserve">Recreation and Open Spaces are a high priority for Bayside City </w:t>
      </w:r>
      <w:r>
        <w:rPr>
          <w:rFonts w:cs="Calibri"/>
          <w:color w:val="000000"/>
        </w:rPr>
        <w:t>Council</w:t>
      </w:r>
      <w:r w:rsidRPr="00EA2F26">
        <w:rPr>
          <w:rFonts w:cs="Calibri"/>
          <w:color w:val="000000"/>
        </w:rPr>
        <w:t xml:space="preserve">. The </w:t>
      </w:r>
      <w:r>
        <w:rPr>
          <w:rFonts w:cs="Calibri"/>
          <w:color w:val="000000"/>
        </w:rPr>
        <w:t>Council</w:t>
      </w:r>
      <w:r w:rsidR="00DC4326">
        <w:rPr>
          <w:rFonts w:cs="Calibri"/>
          <w:color w:val="000000"/>
        </w:rPr>
        <w:t xml:space="preserve"> P</w:t>
      </w:r>
      <w:r w:rsidRPr="00EA2F26">
        <w:rPr>
          <w:rFonts w:cs="Calibri"/>
          <w:color w:val="000000"/>
        </w:rPr>
        <w:t>lan states, “We will improve the quality of our natural environment and open spaces to meet the chal</w:t>
      </w:r>
      <w:r>
        <w:rPr>
          <w:rFonts w:cs="Calibri"/>
          <w:color w:val="000000"/>
        </w:rPr>
        <w:t xml:space="preserve">lenges of climate change”. The </w:t>
      </w:r>
      <w:r w:rsidRPr="00EA2F26">
        <w:rPr>
          <w:rFonts w:cs="Calibri"/>
          <w:color w:val="000000"/>
        </w:rPr>
        <w:t>Bayside 2020 Community Plan also makes a commitment to deliver recreation and leisure facilities to meet the needs of the community and to encourage healthy living through the use of Bayside‘s green spaces. The Bayside Municipal Strategic Statement includes a commitment to “provide open space and recreational opportunities of the community”, on the basis that, “the protection and enhancement of open space is key to the economic and environmental viability of the municipality”.</w:t>
      </w:r>
    </w:p>
    <w:p w:rsidR="00D02973" w:rsidRDefault="00D02973" w:rsidP="00D02973">
      <w:r w:rsidRPr="00EA2F26">
        <w:t xml:space="preserve">Recreation and open space assets owned by Bayside City </w:t>
      </w:r>
      <w:r>
        <w:t>Council</w:t>
      </w:r>
      <w:r w:rsidRPr="00EA2F26">
        <w:t xml:space="preserve"> comprise land improvements and infrastructure provided to the community for a range of uses and services. While recreational and open space assets include parklands, reserves</w:t>
      </w:r>
      <w:r>
        <w:t>, sportsgrounds</w:t>
      </w:r>
      <w:r w:rsidRPr="00EA2F26">
        <w:t xml:space="preserve"> and the foreshore, </w:t>
      </w:r>
      <w:r>
        <w:t xml:space="preserve">assets such as </w:t>
      </w:r>
      <w:r w:rsidRPr="00EA2F26">
        <w:t>buildings</w:t>
      </w:r>
      <w:r>
        <w:t>, footbridges</w:t>
      </w:r>
      <w:r w:rsidRPr="00EA2F26">
        <w:t xml:space="preserve"> and carparks located within these areas are not</w:t>
      </w:r>
      <w:r>
        <w:t xml:space="preserve"> included in the scope of this document</w:t>
      </w:r>
      <w:r w:rsidRPr="00EA2F26">
        <w:t xml:space="preserve"> and are otherwise considered in the </w:t>
      </w:r>
      <w:r>
        <w:t>respective Buildings and Roads Asset Management Plans</w:t>
      </w:r>
      <w:r w:rsidRPr="00EA2F26">
        <w:t xml:space="preserve">.  </w:t>
      </w:r>
    </w:p>
    <w:p w:rsidR="00D02973" w:rsidRPr="008E2441" w:rsidRDefault="00D02973" w:rsidP="00D02973">
      <w:pPr>
        <w:rPr>
          <w:rFonts w:cs="Calibri"/>
        </w:rPr>
      </w:pPr>
      <w:r w:rsidRPr="00EA2F26">
        <w:rPr>
          <w:rFonts w:cs="Calibri"/>
          <w:color w:val="000000"/>
        </w:rPr>
        <w:t xml:space="preserve">Bayside City </w:t>
      </w:r>
      <w:r>
        <w:rPr>
          <w:rFonts w:cs="Calibri"/>
          <w:color w:val="000000"/>
        </w:rPr>
        <w:t>Council</w:t>
      </w:r>
      <w:r w:rsidRPr="00EA2F26">
        <w:rPr>
          <w:rFonts w:cs="Calibri"/>
          <w:color w:val="000000"/>
        </w:rPr>
        <w:t xml:space="preserve"> provides and is responsible for maintaining an extensive network of recreation and open space facilities that range from sports grounds, parks, playgrounds and foreshore reserves to street trees and street landscaping. The replacement value of the recreation and open space assets is $</w:t>
      </w:r>
      <w:r>
        <w:rPr>
          <w:rFonts w:cs="Calibri"/>
          <w:color w:val="000000"/>
        </w:rPr>
        <w:t>98.5</w:t>
      </w:r>
      <w:r w:rsidRPr="00EA2F26">
        <w:rPr>
          <w:rFonts w:cs="Calibri"/>
          <w:color w:val="000000"/>
        </w:rPr>
        <w:t xml:space="preserve"> million. A breakdown of the number and value of open space assets by category is shown </w:t>
      </w:r>
      <w:r>
        <w:rPr>
          <w:rFonts w:cs="Calibri"/>
        </w:rPr>
        <w:t>Table 4</w:t>
      </w:r>
      <w:r w:rsidRPr="00EA2F26">
        <w:rPr>
          <w:rFonts w:cs="Calibri"/>
        </w:rPr>
        <w:t xml:space="preserve"> in Section 4.1.1. </w:t>
      </w:r>
    </w:p>
    <w:p w:rsidR="00D02973" w:rsidRPr="00EA2F26" w:rsidRDefault="00D02973" w:rsidP="00D02973">
      <w:pPr>
        <w:autoSpaceDE w:val="0"/>
        <w:autoSpaceDN w:val="0"/>
        <w:adjustRightInd w:val="0"/>
        <w:rPr>
          <w:rFonts w:cs="Calibri"/>
          <w:color w:val="000000"/>
        </w:rPr>
      </w:pPr>
      <w:r w:rsidRPr="00EA2F26">
        <w:rPr>
          <w:rFonts w:cs="Calibri"/>
          <w:color w:val="000000"/>
        </w:rPr>
        <w:t xml:space="preserve">The R&amp;OS–AMP covers the proposed levels of service, future demand, routine maintenance, renewal/replacement, acquisition/creation and decommissioning of </w:t>
      </w:r>
      <w:r>
        <w:rPr>
          <w:rFonts w:cs="Calibri"/>
          <w:color w:val="000000"/>
        </w:rPr>
        <w:t>Council</w:t>
      </w:r>
      <w:r w:rsidRPr="00EA2F26">
        <w:rPr>
          <w:rFonts w:cs="Calibri"/>
          <w:color w:val="000000"/>
        </w:rPr>
        <w:t xml:space="preserve">’s recreation and open space facilities and infrastructure. It also outlines the financial requirements and the key assumptions made in financial forecasts. It is also a means of outlining the key elements involved in </w:t>
      </w:r>
      <w:r w:rsidRPr="00EA2F26">
        <w:rPr>
          <w:rFonts w:cs="Calibri"/>
          <w:color w:val="000000"/>
        </w:rPr>
        <w:lastRenderedPageBreak/>
        <w:t xml:space="preserve">managing the recreation and open space asset stock. The R&amp;OS-AMP combines management, financial, engineering and technical practices to ensure that the level of service required by the beneficiaries of the service is provided at the lowest long term cost to the community within the limits of any fiscal constraints that may be imposed by </w:t>
      </w:r>
      <w:r>
        <w:rPr>
          <w:rFonts w:cs="Calibri"/>
          <w:color w:val="000000"/>
        </w:rPr>
        <w:t>Council</w:t>
      </w:r>
      <w:r w:rsidRPr="00EA2F26">
        <w:rPr>
          <w:rFonts w:cs="Calibri"/>
          <w:color w:val="000000"/>
        </w:rPr>
        <w:t xml:space="preserve">. </w:t>
      </w:r>
    </w:p>
    <w:p w:rsidR="00D02973" w:rsidRPr="00EA2F26" w:rsidRDefault="00D02973" w:rsidP="00D02973">
      <w:pPr>
        <w:autoSpaceDE w:val="0"/>
        <w:autoSpaceDN w:val="0"/>
        <w:adjustRightInd w:val="0"/>
        <w:rPr>
          <w:rFonts w:cs="Calibri"/>
          <w:color w:val="000000"/>
        </w:rPr>
      </w:pPr>
      <w:r w:rsidRPr="00EA2F26">
        <w:rPr>
          <w:rFonts w:cs="Calibri"/>
          <w:color w:val="000000"/>
        </w:rPr>
        <w:t>The key purpose of this R&amp;OS-AMP are:</w:t>
      </w:r>
    </w:p>
    <w:p w:rsidR="00D02973" w:rsidRPr="00EA2F26" w:rsidRDefault="00D02973" w:rsidP="00D02973">
      <w:pPr>
        <w:pStyle w:val="ListParagraph"/>
        <w:numPr>
          <w:ilvl w:val="0"/>
          <w:numId w:val="26"/>
        </w:numPr>
        <w:autoSpaceDE w:val="0"/>
        <w:autoSpaceDN w:val="0"/>
        <w:adjustRightInd w:val="0"/>
        <w:rPr>
          <w:rFonts w:cs="Calibri"/>
          <w:color w:val="000000"/>
        </w:rPr>
      </w:pPr>
      <w:r w:rsidRPr="00EA2F26">
        <w:rPr>
          <w:rFonts w:cs="Calibri"/>
          <w:color w:val="000000"/>
        </w:rPr>
        <w:t>Identify the required asset management regime and forecast financial requirements for the current asset stock for the next 10 years.</w:t>
      </w:r>
    </w:p>
    <w:p w:rsidR="00D02973" w:rsidRPr="00EA2F26" w:rsidRDefault="00D02973" w:rsidP="00D02973">
      <w:pPr>
        <w:pStyle w:val="ListParagraph"/>
        <w:numPr>
          <w:ilvl w:val="0"/>
          <w:numId w:val="26"/>
        </w:numPr>
        <w:autoSpaceDE w:val="0"/>
        <w:autoSpaceDN w:val="0"/>
        <w:adjustRightInd w:val="0"/>
        <w:spacing w:before="240"/>
        <w:rPr>
          <w:rFonts w:cs="Calibri"/>
          <w:color w:val="000000"/>
        </w:rPr>
      </w:pPr>
      <w:r w:rsidRPr="00EA2F26">
        <w:rPr>
          <w:rFonts w:cs="Calibri"/>
          <w:color w:val="000000"/>
        </w:rPr>
        <w:t>Identify the l</w:t>
      </w:r>
      <w:r>
        <w:rPr>
          <w:rFonts w:cs="Calibri"/>
          <w:color w:val="000000"/>
        </w:rPr>
        <w:t>ikely growth or change in asset-</w:t>
      </w:r>
      <w:r w:rsidRPr="00EA2F26">
        <w:rPr>
          <w:rFonts w:cs="Calibri"/>
          <w:color w:val="000000"/>
        </w:rPr>
        <w:t>based services identified by strategic service planning and predict the financial impact in capital works and operations / maintenance budgets of these changes over the next 10 years.</w:t>
      </w:r>
    </w:p>
    <w:p w:rsidR="00D02973" w:rsidRPr="00EA2F26" w:rsidRDefault="00D02973" w:rsidP="00D02973">
      <w:pPr>
        <w:pStyle w:val="ListParagraph"/>
        <w:numPr>
          <w:ilvl w:val="0"/>
          <w:numId w:val="26"/>
        </w:numPr>
        <w:autoSpaceDE w:val="0"/>
        <w:autoSpaceDN w:val="0"/>
        <w:adjustRightInd w:val="0"/>
        <w:rPr>
          <w:rFonts w:cs="Calibri"/>
          <w:color w:val="000000"/>
        </w:rPr>
      </w:pPr>
      <w:r w:rsidRPr="00EA2F26">
        <w:rPr>
          <w:rFonts w:cs="Calibri"/>
          <w:color w:val="000000"/>
        </w:rPr>
        <w:t xml:space="preserve">Identify improvement actions required to address limitations in the scope of the R&amp;OS-AMP and drive improvements in the asset management process. </w:t>
      </w:r>
    </w:p>
    <w:p w:rsidR="00D02973" w:rsidRPr="00EA2F26" w:rsidRDefault="00D02973" w:rsidP="00D02973">
      <w:pPr>
        <w:autoSpaceDE w:val="0"/>
        <w:autoSpaceDN w:val="0"/>
        <w:adjustRightInd w:val="0"/>
        <w:rPr>
          <w:rFonts w:cs="Calibri"/>
          <w:color w:val="000000"/>
        </w:rPr>
      </w:pPr>
      <w:r w:rsidRPr="00EA2F26">
        <w:rPr>
          <w:rFonts w:cs="Calibri"/>
          <w:color w:val="000000"/>
        </w:rPr>
        <w:t xml:space="preserve">This revision of the R&amp;OS-AMP is based on the best available information and represents the second generation of documenting </w:t>
      </w:r>
      <w:r>
        <w:rPr>
          <w:rFonts w:cs="Calibri"/>
          <w:color w:val="000000"/>
        </w:rPr>
        <w:t>Council’s</w:t>
      </w:r>
      <w:r w:rsidRPr="00EA2F26">
        <w:rPr>
          <w:rFonts w:cs="Calibri"/>
          <w:color w:val="000000"/>
        </w:rPr>
        <w:t xml:space="preserve"> sustainable management of service provided by recreation and open space assets to the Bayside community.</w:t>
      </w:r>
    </w:p>
    <w:p w:rsidR="00D02973" w:rsidRPr="00DF2FAC" w:rsidRDefault="00D02973" w:rsidP="00D02973">
      <w:pPr>
        <w:pStyle w:val="Heading2"/>
        <w:spacing w:after="200"/>
        <w:rPr>
          <w:rFonts w:asciiTheme="minorHAnsi" w:hAnsiTheme="minorHAnsi"/>
          <w:color w:val="2E74B5" w:themeColor="accent1" w:themeShade="BF"/>
        </w:rPr>
      </w:pPr>
      <w:bookmarkStart w:id="5" w:name="_Toc448475162"/>
      <w:r w:rsidRPr="00DF2FAC">
        <w:rPr>
          <w:rFonts w:asciiTheme="minorHAnsi" w:hAnsiTheme="minorHAnsi"/>
          <w:color w:val="2E74B5" w:themeColor="accent1" w:themeShade="BF"/>
        </w:rPr>
        <w:t>1.2</w:t>
      </w:r>
      <w:r w:rsidRPr="00DF2FAC">
        <w:rPr>
          <w:rFonts w:asciiTheme="minorHAnsi" w:hAnsiTheme="minorHAnsi"/>
          <w:color w:val="2E74B5" w:themeColor="accent1" w:themeShade="BF"/>
        </w:rPr>
        <w:tab/>
        <w:t>Assumptions</w:t>
      </w:r>
      <w:bookmarkEnd w:id="5"/>
    </w:p>
    <w:p w:rsidR="00D02973" w:rsidRPr="00EA2F26" w:rsidRDefault="00D02973" w:rsidP="00D02973">
      <w:pPr>
        <w:autoSpaceDE w:val="0"/>
        <w:autoSpaceDN w:val="0"/>
        <w:adjustRightInd w:val="0"/>
        <w:rPr>
          <w:rFonts w:cs="Calibri"/>
          <w:color w:val="000000"/>
        </w:rPr>
      </w:pPr>
      <w:r w:rsidRPr="00EA2F26">
        <w:rPr>
          <w:rFonts w:cs="Calibri"/>
          <w:color w:val="000000"/>
        </w:rPr>
        <w:t>In developing this R&amp;OS-AMP, several assumptions have been made including:</w:t>
      </w:r>
    </w:p>
    <w:p w:rsidR="00D02973" w:rsidRPr="00EA2F26" w:rsidRDefault="00D02973" w:rsidP="00D02973">
      <w:pPr>
        <w:pStyle w:val="ListParagraph"/>
        <w:numPr>
          <w:ilvl w:val="0"/>
          <w:numId w:val="25"/>
        </w:numPr>
        <w:autoSpaceDE w:val="0"/>
        <w:autoSpaceDN w:val="0"/>
        <w:adjustRightInd w:val="0"/>
        <w:rPr>
          <w:rFonts w:cs="Calibri"/>
          <w:color w:val="000000"/>
        </w:rPr>
      </w:pPr>
      <w:r w:rsidRPr="00EA2F26">
        <w:rPr>
          <w:rFonts w:cs="Calibri"/>
          <w:color w:val="000000"/>
        </w:rPr>
        <w:t>Asset registers are accurate and complete</w:t>
      </w:r>
    </w:p>
    <w:p w:rsidR="00D02973" w:rsidRPr="00EA2F26" w:rsidRDefault="00D02973" w:rsidP="00D02973">
      <w:pPr>
        <w:pStyle w:val="ListParagraph"/>
        <w:numPr>
          <w:ilvl w:val="0"/>
          <w:numId w:val="25"/>
        </w:numPr>
        <w:autoSpaceDE w:val="0"/>
        <w:autoSpaceDN w:val="0"/>
        <w:adjustRightInd w:val="0"/>
        <w:rPr>
          <w:rFonts w:cs="Calibri"/>
          <w:color w:val="000000"/>
        </w:rPr>
      </w:pPr>
      <w:r w:rsidRPr="00EA2F26">
        <w:rPr>
          <w:rFonts w:cs="Calibri"/>
          <w:color w:val="000000"/>
        </w:rPr>
        <w:t>Useful lives and predictive modelling (e.g. Moloney Model) are correct, however as further inventory and condition data for assets is collected it wi</w:t>
      </w:r>
      <w:r>
        <w:rPr>
          <w:rFonts w:cs="Calibri"/>
          <w:color w:val="000000"/>
        </w:rPr>
        <w:t>ll be used to refine the model</w:t>
      </w:r>
    </w:p>
    <w:p w:rsidR="00D02973" w:rsidRPr="00EA2F26" w:rsidRDefault="00D02973" w:rsidP="00D02973">
      <w:pPr>
        <w:pStyle w:val="ListParagraph"/>
        <w:numPr>
          <w:ilvl w:val="0"/>
          <w:numId w:val="25"/>
        </w:numPr>
        <w:autoSpaceDE w:val="0"/>
        <w:autoSpaceDN w:val="0"/>
        <w:adjustRightInd w:val="0"/>
        <w:rPr>
          <w:rFonts w:cs="Calibri"/>
          <w:color w:val="000000"/>
        </w:rPr>
      </w:pPr>
      <w:r w:rsidRPr="00EA2F26">
        <w:rPr>
          <w:rFonts w:cs="Calibri"/>
          <w:color w:val="000000"/>
        </w:rPr>
        <w:t>Current levels of service reflect the current community needs</w:t>
      </w:r>
      <w:r>
        <w:rPr>
          <w:rFonts w:cs="Calibri"/>
          <w:color w:val="000000"/>
        </w:rPr>
        <w:t>,</w:t>
      </w:r>
      <w:r w:rsidRPr="00EA2F26">
        <w:rPr>
          <w:rFonts w:cs="Calibri"/>
          <w:color w:val="000000"/>
        </w:rPr>
        <w:t xml:space="preserve"> unless an </w:t>
      </w:r>
      <w:r>
        <w:rPr>
          <w:rFonts w:cs="Calibri"/>
          <w:color w:val="000000"/>
        </w:rPr>
        <w:t xml:space="preserve">asset </w:t>
      </w:r>
      <w:r w:rsidRPr="00EA2F26">
        <w:rPr>
          <w:rFonts w:cs="Calibri"/>
          <w:color w:val="000000"/>
        </w:rPr>
        <w:t>upgra</w:t>
      </w:r>
      <w:r>
        <w:rPr>
          <w:rFonts w:cs="Calibri"/>
          <w:color w:val="000000"/>
        </w:rPr>
        <w:t>de strategy has been ado</w:t>
      </w:r>
      <w:r w:rsidRPr="00EA2F26">
        <w:rPr>
          <w:rFonts w:cs="Calibri"/>
          <w:color w:val="000000"/>
        </w:rPr>
        <w:t>pted</w:t>
      </w:r>
    </w:p>
    <w:p w:rsidR="00D02973" w:rsidRPr="00EA2F26" w:rsidRDefault="00D02973" w:rsidP="00D02973">
      <w:pPr>
        <w:pStyle w:val="ListParagraph"/>
        <w:numPr>
          <w:ilvl w:val="0"/>
          <w:numId w:val="25"/>
        </w:numPr>
        <w:autoSpaceDE w:val="0"/>
        <w:autoSpaceDN w:val="0"/>
        <w:adjustRightInd w:val="0"/>
        <w:rPr>
          <w:rFonts w:cs="Calibri"/>
          <w:color w:val="000000"/>
        </w:rPr>
      </w:pPr>
      <w:r w:rsidRPr="00EA2F26">
        <w:rPr>
          <w:rFonts w:cs="Calibri"/>
          <w:color w:val="000000"/>
        </w:rPr>
        <w:t>No known legislative changes or other influences that will impact on, or demand a change in level of service and associated funding throughout the period of the plan</w:t>
      </w:r>
    </w:p>
    <w:p w:rsidR="00D02973" w:rsidRPr="00EA2F26" w:rsidRDefault="00D02973" w:rsidP="00D02973">
      <w:pPr>
        <w:pStyle w:val="ListParagraph"/>
        <w:numPr>
          <w:ilvl w:val="0"/>
          <w:numId w:val="25"/>
        </w:numPr>
        <w:autoSpaceDE w:val="0"/>
        <w:autoSpaceDN w:val="0"/>
        <w:adjustRightInd w:val="0"/>
        <w:rPr>
          <w:rFonts w:cs="Calibri"/>
          <w:color w:val="000000"/>
        </w:rPr>
      </w:pPr>
      <w:r w:rsidRPr="00EA2F26">
        <w:rPr>
          <w:rFonts w:cs="Calibri"/>
          <w:color w:val="000000"/>
        </w:rPr>
        <w:t>Operation and maintenance budgets in the 10 year financial plan allow for price escalation in subsequent years</w:t>
      </w:r>
    </w:p>
    <w:p w:rsidR="00D02973" w:rsidRPr="00DF2FAC" w:rsidRDefault="00D02973" w:rsidP="00D02973">
      <w:pPr>
        <w:pStyle w:val="Heading2"/>
        <w:spacing w:after="200"/>
        <w:rPr>
          <w:rFonts w:asciiTheme="minorHAnsi" w:hAnsiTheme="minorHAnsi"/>
          <w:color w:val="2E74B5" w:themeColor="accent1" w:themeShade="BF"/>
        </w:rPr>
      </w:pPr>
      <w:bookmarkStart w:id="6" w:name="_Toc448475163"/>
      <w:r w:rsidRPr="00DF2FAC">
        <w:rPr>
          <w:rFonts w:asciiTheme="minorHAnsi" w:hAnsiTheme="minorHAnsi"/>
          <w:color w:val="2E74B5" w:themeColor="accent1" w:themeShade="BF"/>
        </w:rPr>
        <w:t>1.3</w:t>
      </w:r>
      <w:r w:rsidRPr="00DF2FAC">
        <w:rPr>
          <w:rFonts w:asciiTheme="minorHAnsi" w:hAnsiTheme="minorHAnsi"/>
          <w:color w:val="2E74B5" w:themeColor="accent1" w:themeShade="BF"/>
        </w:rPr>
        <w:tab/>
        <w:t>Glossary and Abbreviations</w:t>
      </w:r>
      <w:bookmarkEnd w:id="6"/>
    </w:p>
    <w:p w:rsidR="00D02973" w:rsidRPr="00EA2F26" w:rsidRDefault="00D02973" w:rsidP="00D02973">
      <w:pPr>
        <w:autoSpaceDE w:val="0"/>
        <w:autoSpaceDN w:val="0"/>
        <w:adjustRightInd w:val="0"/>
        <w:spacing w:after="0"/>
        <w:ind w:firstLine="720"/>
        <w:rPr>
          <w:rFonts w:cs="Calibri"/>
          <w:color w:val="000000"/>
        </w:rPr>
      </w:pPr>
      <w:r w:rsidRPr="00EA2F26">
        <w:rPr>
          <w:rFonts w:cs="Calibri"/>
          <w:color w:val="000000"/>
        </w:rPr>
        <w:t xml:space="preserve">CRC </w:t>
      </w:r>
      <w:r w:rsidRPr="00EA2F26">
        <w:rPr>
          <w:rFonts w:cs="Calibri"/>
          <w:color w:val="000000"/>
        </w:rPr>
        <w:tab/>
      </w:r>
      <w:r w:rsidRPr="00EA2F26">
        <w:rPr>
          <w:rFonts w:cs="Calibri"/>
          <w:color w:val="000000"/>
        </w:rPr>
        <w:tab/>
        <w:t>Current Replacement Costs</w:t>
      </w:r>
    </w:p>
    <w:p w:rsidR="00D02973" w:rsidRPr="00EA2F26" w:rsidRDefault="00D02973" w:rsidP="00D02973">
      <w:pPr>
        <w:autoSpaceDE w:val="0"/>
        <w:autoSpaceDN w:val="0"/>
        <w:adjustRightInd w:val="0"/>
        <w:spacing w:after="0"/>
        <w:rPr>
          <w:rFonts w:cs="Calibri"/>
          <w:color w:val="000000"/>
        </w:rPr>
      </w:pPr>
      <w:r w:rsidRPr="00EA2F26">
        <w:rPr>
          <w:rFonts w:cs="Calibri"/>
          <w:color w:val="000000"/>
        </w:rPr>
        <w:tab/>
        <w:t>LCC</w:t>
      </w:r>
      <w:r w:rsidRPr="00EA2F26">
        <w:rPr>
          <w:rFonts w:cs="Calibri"/>
          <w:color w:val="000000"/>
        </w:rPr>
        <w:tab/>
      </w:r>
      <w:r w:rsidRPr="00EA2F26">
        <w:rPr>
          <w:rFonts w:cs="Calibri"/>
          <w:color w:val="000000"/>
        </w:rPr>
        <w:tab/>
        <w:t>Lifecycle Cost</w:t>
      </w:r>
    </w:p>
    <w:p w:rsidR="00D02973" w:rsidRPr="00EA2F26" w:rsidRDefault="00D02973" w:rsidP="00D02973">
      <w:pPr>
        <w:autoSpaceDE w:val="0"/>
        <w:autoSpaceDN w:val="0"/>
        <w:adjustRightInd w:val="0"/>
        <w:spacing w:after="0"/>
        <w:rPr>
          <w:rFonts w:cs="Calibri"/>
          <w:color w:val="000000"/>
        </w:rPr>
      </w:pPr>
      <w:r w:rsidRPr="00EA2F26">
        <w:rPr>
          <w:rFonts w:cs="Calibri"/>
          <w:color w:val="000000"/>
        </w:rPr>
        <w:tab/>
        <w:t>OSS</w:t>
      </w:r>
      <w:r w:rsidRPr="00EA2F26">
        <w:rPr>
          <w:rFonts w:cs="Calibri"/>
          <w:color w:val="000000"/>
        </w:rPr>
        <w:tab/>
      </w:r>
      <w:r w:rsidRPr="00EA2F26">
        <w:rPr>
          <w:rFonts w:cs="Calibri"/>
          <w:color w:val="000000"/>
        </w:rPr>
        <w:tab/>
        <w:t>Open Space Strategy</w:t>
      </w:r>
    </w:p>
    <w:p w:rsidR="00D02973" w:rsidRDefault="00D02973" w:rsidP="00D02973">
      <w:pPr>
        <w:autoSpaceDE w:val="0"/>
        <w:autoSpaceDN w:val="0"/>
        <w:adjustRightInd w:val="0"/>
        <w:spacing w:after="0"/>
        <w:ind w:firstLine="720"/>
        <w:rPr>
          <w:rFonts w:cs="Calibri"/>
          <w:color w:val="000000"/>
        </w:rPr>
      </w:pPr>
      <w:r w:rsidRPr="00EA2F26">
        <w:rPr>
          <w:rFonts w:cs="Calibri"/>
          <w:color w:val="000000"/>
        </w:rPr>
        <w:t>R&amp;OS–AMP</w:t>
      </w:r>
      <w:r w:rsidRPr="00EA2F26">
        <w:rPr>
          <w:rFonts w:cs="Calibri"/>
          <w:color w:val="000000"/>
        </w:rPr>
        <w:tab/>
        <w:t xml:space="preserve">Recreation and Open Space Asset Management Plan </w:t>
      </w:r>
    </w:p>
    <w:p w:rsidR="00D02973" w:rsidRPr="00EA2F26" w:rsidRDefault="00D02973" w:rsidP="00D02973">
      <w:pPr>
        <w:autoSpaceDE w:val="0"/>
        <w:autoSpaceDN w:val="0"/>
        <w:adjustRightInd w:val="0"/>
        <w:spacing w:after="0"/>
        <w:ind w:firstLine="720"/>
        <w:rPr>
          <w:rFonts w:cs="Calibri"/>
          <w:color w:val="000000"/>
        </w:rPr>
      </w:pPr>
      <w:r>
        <w:rPr>
          <w:rFonts w:cs="Calibri"/>
          <w:color w:val="000000"/>
        </w:rPr>
        <w:t>SSR</w:t>
      </w:r>
      <w:r>
        <w:rPr>
          <w:rFonts w:cs="Calibri"/>
          <w:color w:val="000000"/>
        </w:rPr>
        <w:tab/>
      </w:r>
      <w:r>
        <w:rPr>
          <w:rFonts w:cs="Calibri"/>
          <w:color w:val="000000"/>
        </w:rPr>
        <w:tab/>
        <w:t>Strategic Service Review</w:t>
      </w:r>
    </w:p>
    <w:p w:rsidR="00D02973" w:rsidRPr="00EA2F26" w:rsidRDefault="00D02973" w:rsidP="00D02973">
      <w:pPr>
        <w:autoSpaceDE w:val="0"/>
        <w:autoSpaceDN w:val="0"/>
        <w:adjustRightInd w:val="0"/>
        <w:spacing w:after="0"/>
        <w:rPr>
          <w:rFonts w:cs="Calibri"/>
          <w:color w:val="000000"/>
        </w:rPr>
      </w:pPr>
      <w:r w:rsidRPr="00EA2F26">
        <w:rPr>
          <w:rFonts w:cs="Calibri"/>
          <w:color w:val="000000"/>
        </w:rPr>
        <w:tab/>
        <w:t>UL</w:t>
      </w:r>
      <w:r w:rsidRPr="00EA2F26">
        <w:rPr>
          <w:rFonts w:cs="Calibri"/>
          <w:color w:val="000000"/>
        </w:rPr>
        <w:tab/>
      </w:r>
      <w:r w:rsidRPr="00EA2F26">
        <w:rPr>
          <w:rFonts w:cs="Calibri"/>
          <w:color w:val="000000"/>
        </w:rPr>
        <w:tab/>
        <w:t>Useful Life</w:t>
      </w:r>
    </w:p>
    <w:p w:rsidR="00D02973" w:rsidRPr="00EA2F26" w:rsidRDefault="00D02973" w:rsidP="00D02973">
      <w:pPr>
        <w:autoSpaceDE w:val="0"/>
        <w:autoSpaceDN w:val="0"/>
        <w:adjustRightInd w:val="0"/>
        <w:rPr>
          <w:rFonts w:cs="Calibri"/>
          <w:color w:val="000000"/>
        </w:rPr>
      </w:pPr>
      <w:r w:rsidRPr="00EA2F26">
        <w:rPr>
          <w:rFonts w:cs="Calibri"/>
          <w:color w:val="000000"/>
        </w:rPr>
        <w:tab/>
        <w:t>WDV</w:t>
      </w:r>
      <w:r w:rsidRPr="00EA2F26">
        <w:rPr>
          <w:rFonts w:cs="Calibri"/>
          <w:color w:val="000000"/>
        </w:rPr>
        <w:tab/>
      </w:r>
      <w:r w:rsidRPr="00EA2F26">
        <w:rPr>
          <w:rFonts w:cs="Calibri"/>
          <w:color w:val="000000"/>
        </w:rPr>
        <w:tab/>
        <w:t>Written Down Value</w:t>
      </w:r>
    </w:p>
    <w:p w:rsidR="00D02973" w:rsidRPr="00DF2FAC" w:rsidRDefault="00D02973" w:rsidP="00D02973">
      <w:pPr>
        <w:pStyle w:val="Heading2"/>
        <w:spacing w:after="200"/>
        <w:rPr>
          <w:rFonts w:asciiTheme="minorHAnsi" w:hAnsiTheme="minorHAnsi"/>
          <w:color w:val="2E74B5" w:themeColor="accent1" w:themeShade="BF"/>
        </w:rPr>
      </w:pPr>
      <w:bookmarkStart w:id="7" w:name="_Toc448475164"/>
      <w:r w:rsidRPr="00DF2FAC">
        <w:rPr>
          <w:rFonts w:asciiTheme="minorHAnsi" w:hAnsiTheme="minorHAnsi"/>
          <w:color w:val="2E74B5" w:themeColor="accent1" w:themeShade="BF"/>
        </w:rPr>
        <w:lastRenderedPageBreak/>
        <w:t>1.4</w:t>
      </w:r>
      <w:r w:rsidRPr="00DF2FAC">
        <w:rPr>
          <w:rFonts w:asciiTheme="minorHAnsi" w:hAnsiTheme="minorHAnsi"/>
          <w:color w:val="2E74B5" w:themeColor="accent1" w:themeShade="BF"/>
        </w:rPr>
        <w:tab/>
        <w:t>Key Stakeholders</w:t>
      </w:r>
      <w:bookmarkEnd w:id="7"/>
    </w:p>
    <w:p w:rsidR="00D02973" w:rsidRPr="00EA2F26" w:rsidRDefault="00D02973" w:rsidP="00D02973">
      <w:pPr>
        <w:autoSpaceDE w:val="0"/>
        <w:autoSpaceDN w:val="0"/>
        <w:adjustRightInd w:val="0"/>
        <w:rPr>
          <w:rFonts w:cs="Calibri"/>
          <w:color w:val="000000"/>
        </w:rPr>
      </w:pPr>
      <w:r w:rsidRPr="00EA2F26">
        <w:rPr>
          <w:rFonts w:cs="Calibri"/>
          <w:color w:val="000000"/>
        </w:rPr>
        <w:t xml:space="preserve">Assets controlled by </w:t>
      </w:r>
      <w:r>
        <w:rPr>
          <w:rFonts w:cs="Calibri"/>
          <w:color w:val="000000"/>
        </w:rPr>
        <w:t>Council</w:t>
      </w:r>
      <w:r w:rsidRPr="00EA2F26">
        <w:rPr>
          <w:rFonts w:cs="Calibri"/>
          <w:color w:val="000000"/>
        </w:rPr>
        <w:t xml:space="preserve"> are utilised by a broad cross-section of the community. It is therefore critical that assets are maintained based on need and are fit for purpose. The best person to judge whether an asset is fit for purpose is likely to be the user of the asset</w:t>
      </w:r>
      <w:r>
        <w:rPr>
          <w:rFonts w:cs="Calibri"/>
          <w:color w:val="000000"/>
        </w:rPr>
        <w:t>,</w:t>
      </w:r>
      <w:r w:rsidRPr="00EA2F26">
        <w:rPr>
          <w:rFonts w:cs="Calibri"/>
          <w:color w:val="000000"/>
        </w:rPr>
        <w:t xml:space="preserve"> hence asset users are key stakeholders of this R&amp;OS-AMP. </w:t>
      </w:r>
    </w:p>
    <w:p w:rsidR="00D02973" w:rsidRDefault="00D02973" w:rsidP="00D02973">
      <w:pPr>
        <w:autoSpaceDE w:val="0"/>
        <w:autoSpaceDN w:val="0"/>
        <w:adjustRightInd w:val="0"/>
        <w:rPr>
          <w:rFonts w:cs="Calibri"/>
          <w:color w:val="000000"/>
        </w:rPr>
      </w:pPr>
      <w:r w:rsidRPr="00EA2F26">
        <w:rPr>
          <w:rFonts w:cs="Calibri"/>
          <w:color w:val="000000"/>
        </w:rPr>
        <w:t xml:space="preserve">Stakeholders identified in Table 1 of this Plan are the stakeholders that are likely to be consulted </w:t>
      </w:r>
      <w:r>
        <w:rPr>
          <w:rFonts w:cs="Calibri"/>
          <w:color w:val="000000"/>
        </w:rPr>
        <w:t>when Council</w:t>
      </w:r>
      <w:r w:rsidRPr="00EA2F26">
        <w:rPr>
          <w:rFonts w:cs="Calibri"/>
          <w:color w:val="000000"/>
        </w:rPr>
        <w:t xml:space="preserve"> seeks input in relation to determination of Levels of Service and intervention levels.</w:t>
      </w:r>
    </w:p>
    <w:p w:rsidR="00DF2FAC" w:rsidRDefault="00DF2FAC" w:rsidP="00D02973">
      <w:pPr>
        <w:rPr>
          <w:rFonts w:eastAsiaTheme="minorEastAsia" w:cstheme="minorHAnsi"/>
          <w:b/>
          <w:iCs/>
        </w:rPr>
      </w:pPr>
    </w:p>
    <w:p w:rsidR="00D02973" w:rsidRPr="00EA2F26" w:rsidRDefault="00D02973" w:rsidP="00D02973">
      <w:pPr>
        <w:rPr>
          <w:rFonts w:eastAsiaTheme="minorEastAsia" w:cstheme="minorHAnsi"/>
          <w:b/>
          <w:iCs/>
        </w:rPr>
      </w:pPr>
      <w:r w:rsidRPr="00EA2F26">
        <w:rPr>
          <w:rFonts w:eastAsiaTheme="minorEastAsia" w:cstheme="minorHAnsi"/>
          <w:b/>
          <w:iCs/>
        </w:rPr>
        <w:t>Table 1: Key Stakeholders</w:t>
      </w:r>
    </w:p>
    <w:tbl>
      <w:tblPr>
        <w:tblStyle w:val="TableGrid2"/>
        <w:tblW w:w="0" w:type="auto"/>
        <w:tblInd w:w="108" w:type="dxa"/>
        <w:tblLook w:val="04A0" w:firstRow="1" w:lastRow="0" w:firstColumn="1" w:lastColumn="0" w:noHBand="0" w:noVBand="1"/>
      </w:tblPr>
      <w:tblGrid>
        <w:gridCol w:w="2367"/>
        <w:gridCol w:w="6542"/>
      </w:tblGrid>
      <w:tr w:rsidR="00D02973" w:rsidRPr="00EA2F26" w:rsidTr="00DF2FAC">
        <w:trPr>
          <w:trHeight w:val="397"/>
        </w:trPr>
        <w:tc>
          <w:tcPr>
            <w:tcW w:w="8952" w:type="dxa"/>
            <w:gridSpan w:val="2"/>
            <w:tcBorders>
              <w:bottom w:val="single" w:sz="4" w:space="0" w:color="auto"/>
            </w:tcBorders>
            <w:shd w:val="clear" w:color="auto" w:fill="000000" w:themeFill="text1"/>
            <w:vAlign w:val="center"/>
          </w:tcPr>
          <w:p w:rsidR="00D02973" w:rsidRPr="00EA2F26" w:rsidRDefault="00D02973" w:rsidP="00DF2FAC">
            <w:pPr>
              <w:rPr>
                <w:color w:val="FFFFFF" w:themeColor="background1"/>
              </w:rPr>
            </w:pPr>
            <w:r w:rsidRPr="00EA2F26">
              <w:rPr>
                <w:color w:val="FFFFFF" w:themeColor="background1"/>
              </w:rPr>
              <w:t>Internal Stakeholders</w:t>
            </w:r>
          </w:p>
        </w:tc>
      </w:tr>
      <w:tr w:rsidR="00D02973" w:rsidRPr="00EA2F26" w:rsidTr="00DF2FAC">
        <w:trPr>
          <w:trHeight w:val="397"/>
        </w:trPr>
        <w:tc>
          <w:tcPr>
            <w:tcW w:w="2374" w:type="dxa"/>
            <w:shd w:val="clear" w:color="auto" w:fill="000000" w:themeFill="text1"/>
            <w:vAlign w:val="center"/>
          </w:tcPr>
          <w:p w:rsidR="00D02973" w:rsidRPr="00EA2F26" w:rsidRDefault="00D02973" w:rsidP="00DF2FAC">
            <w:pPr>
              <w:spacing w:before="40"/>
              <w:rPr>
                <w:rFonts w:cs="Calibri"/>
                <w:color w:val="FFFFFF" w:themeColor="background1"/>
                <w:lang w:eastAsia="en-AU"/>
              </w:rPr>
            </w:pPr>
            <w:r w:rsidRPr="00EA2F26">
              <w:rPr>
                <w:rFonts w:cs="Calibri"/>
                <w:color w:val="FFFFFF" w:themeColor="background1"/>
                <w:lang w:eastAsia="en-AU"/>
              </w:rPr>
              <w:t>Stakeholder Group</w:t>
            </w:r>
          </w:p>
        </w:tc>
        <w:tc>
          <w:tcPr>
            <w:tcW w:w="6578" w:type="dxa"/>
            <w:shd w:val="clear" w:color="auto" w:fill="000000" w:themeFill="text1"/>
            <w:vAlign w:val="center"/>
          </w:tcPr>
          <w:p w:rsidR="00D02973" w:rsidRPr="00EA2F26" w:rsidRDefault="00D02973" w:rsidP="00DF2FAC">
            <w:pPr>
              <w:spacing w:before="40"/>
              <w:rPr>
                <w:rFonts w:cs="Calibri"/>
                <w:color w:val="FFFFFF" w:themeColor="background1"/>
                <w:lang w:eastAsia="en-AU"/>
              </w:rPr>
            </w:pPr>
            <w:r w:rsidRPr="00EA2F26">
              <w:rPr>
                <w:rFonts w:cs="Calibri"/>
                <w:color w:val="FFFFFF" w:themeColor="background1"/>
                <w:lang w:eastAsia="en-AU"/>
              </w:rPr>
              <w:t>Role or Involvement</w:t>
            </w:r>
          </w:p>
        </w:tc>
      </w:tr>
      <w:tr w:rsidR="00D02973" w:rsidRPr="00EA2F26" w:rsidTr="00DF2FAC">
        <w:tc>
          <w:tcPr>
            <w:tcW w:w="2374" w:type="dxa"/>
            <w:vAlign w:val="center"/>
          </w:tcPr>
          <w:p w:rsidR="00D02973" w:rsidRPr="00EA2F26" w:rsidRDefault="00D02973" w:rsidP="00DF2FAC">
            <w:pPr>
              <w:spacing w:before="40"/>
              <w:rPr>
                <w:rFonts w:cs="Calibri"/>
                <w:lang w:eastAsia="en-AU"/>
              </w:rPr>
            </w:pPr>
            <w:r>
              <w:rPr>
                <w:rFonts w:cs="Calibri"/>
                <w:lang w:eastAsia="en-AU"/>
              </w:rPr>
              <w:t>Council</w:t>
            </w:r>
          </w:p>
        </w:tc>
        <w:tc>
          <w:tcPr>
            <w:tcW w:w="6578" w:type="dxa"/>
            <w:vAlign w:val="center"/>
          </w:tcPr>
          <w:p w:rsidR="00D02973" w:rsidRPr="00EA2F26" w:rsidRDefault="00D02973" w:rsidP="00DF2FAC">
            <w:pPr>
              <w:spacing w:before="40"/>
              <w:rPr>
                <w:rFonts w:cs="Calibri"/>
                <w:lang w:eastAsia="en-AU"/>
              </w:rPr>
            </w:pPr>
            <w:r w:rsidRPr="00EA2F26">
              <w:rPr>
                <w:rFonts w:cs="Calibri"/>
                <w:lang w:eastAsia="en-AU"/>
              </w:rPr>
              <w:t xml:space="preserve">Custodian of the asset, with </w:t>
            </w:r>
            <w:r>
              <w:rPr>
                <w:rFonts w:cs="Calibri"/>
                <w:lang w:eastAsia="en-AU"/>
              </w:rPr>
              <w:t>Council</w:t>
            </w:r>
            <w:r w:rsidRPr="00EA2F26">
              <w:rPr>
                <w:rFonts w:cs="Calibri"/>
                <w:lang w:eastAsia="en-AU"/>
              </w:rPr>
              <w:t xml:space="preserve">lors representing the residents and setting strategic direction as per the </w:t>
            </w:r>
            <w:r>
              <w:rPr>
                <w:rFonts w:cs="Calibri"/>
                <w:lang w:eastAsia="en-AU"/>
              </w:rPr>
              <w:t>Council</w:t>
            </w:r>
            <w:r w:rsidRPr="00EA2F26">
              <w:rPr>
                <w:rFonts w:cs="Calibri"/>
                <w:lang w:eastAsia="en-AU"/>
              </w:rPr>
              <w:t xml:space="preserve"> and Operational Plans.</w:t>
            </w:r>
          </w:p>
        </w:tc>
      </w:tr>
      <w:tr w:rsidR="00D02973" w:rsidRPr="00EA2F26" w:rsidTr="00DF2FAC">
        <w:tc>
          <w:tcPr>
            <w:tcW w:w="2374" w:type="dxa"/>
            <w:vAlign w:val="center"/>
          </w:tcPr>
          <w:p w:rsidR="00D02973" w:rsidRPr="00EA2F26" w:rsidRDefault="00D02973" w:rsidP="00DF2FAC">
            <w:pPr>
              <w:spacing w:before="40"/>
              <w:rPr>
                <w:rFonts w:cs="Calibri"/>
                <w:lang w:eastAsia="en-AU"/>
              </w:rPr>
            </w:pPr>
            <w:r w:rsidRPr="00EA2F26">
              <w:rPr>
                <w:rFonts w:cs="Calibri"/>
                <w:lang w:eastAsia="en-AU"/>
              </w:rPr>
              <w:t>Executive Team</w:t>
            </w:r>
          </w:p>
        </w:tc>
        <w:tc>
          <w:tcPr>
            <w:tcW w:w="6578" w:type="dxa"/>
            <w:vAlign w:val="center"/>
          </w:tcPr>
          <w:p w:rsidR="00D02973" w:rsidRPr="00EA2F26" w:rsidRDefault="00D02973" w:rsidP="00DF2FAC">
            <w:pPr>
              <w:spacing w:before="40"/>
              <w:rPr>
                <w:rFonts w:cs="Calibri"/>
                <w:lang w:eastAsia="en-AU"/>
              </w:rPr>
            </w:pPr>
            <w:r w:rsidRPr="00EA2F26">
              <w:rPr>
                <w:rFonts w:cs="Calibri"/>
                <w:lang w:eastAsia="en-AU"/>
              </w:rPr>
              <w:t xml:space="preserve">To ensure that Asset Management policy and strategy is being implemented as adopted, and to ensure that long-term financial needs to sustain the assets for the services they deliver are advised to </w:t>
            </w:r>
            <w:r>
              <w:rPr>
                <w:rFonts w:cs="Calibri"/>
                <w:lang w:eastAsia="en-AU"/>
              </w:rPr>
              <w:t>Council</w:t>
            </w:r>
            <w:r w:rsidRPr="00EA2F26">
              <w:rPr>
                <w:rFonts w:cs="Calibri"/>
                <w:lang w:eastAsia="en-AU"/>
              </w:rPr>
              <w:t xml:space="preserve"> for its strategic and financial planning processes.</w:t>
            </w:r>
          </w:p>
        </w:tc>
      </w:tr>
      <w:tr w:rsidR="00D02973" w:rsidRPr="00EA2F26" w:rsidTr="00DF2FAC">
        <w:tc>
          <w:tcPr>
            <w:tcW w:w="2374" w:type="dxa"/>
            <w:vAlign w:val="center"/>
          </w:tcPr>
          <w:p w:rsidR="00D02973" w:rsidRPr="00EA2F26" w:rsidRDefault="00D02973" w:rsidP="00DF2FAC">
            <w:pPr>
              <w:spacing w:before="60"/>
              <w:rPr>
                <w:rFonts w:cs="Calibri"/>
                <w:lang w:eastAsia="en-AU"/>
              </w:rPr>
            </w:pPr>
            <w:r w:rsidRPr="00EA2F26">
              <w:rPr>
                <w:rFonts w:cs="Calibri"/>
                <w:lang w:eastAsia="en-AU"/>
              </w:rPr>
              <w:t>Manager Infrastructure Assets</w:t>
            </w:r>
          </w:p>
        </w:tc>
        <w:tc>
          <w:tcPr>
            <w:tcW w:w="6578" w:type="dxa"/>
            <w:vAlign w:val="center"/>
          </w:tcPr>
          <w:p w:rsidR="00D02973" w:rsidRPr="00EA2F26" w:rsidRDefault="00D02973" w:rsidP="00DF2FAC">
            <w:pPr>
              <w:spacing w:before="60"/>
              <w:rPr>
                <w:rFonts w:cs="Calibri"/>
                <w:lang w:eastAsia="en-AU"/>
              </w:rPr>
            </w:pPr>
            <w:r w:rsidRPr="00EA2F26">
              <w:rPr>
                <w:rFonts w:cs="Calibri"/>
                <w:lang w:eastAsia="en-AU"/>
              </w:rPr>
              <w:t xml:space="preserve">Provides advice to the Service Area Managers such as Manager ESOS and Manager Recreation, Events and Social Development (asset custodians), to ensure asset management functions undertaken by these departments aligns with </w:t>
            </w:r>
            <w:r>
              <w:rPr>
                <w:rFonts w:cs="Calibri"/>
                <w:lang w:eastAsia="en-AU"/>
              </w:rPr>
              <w:t>Council’s</w:t>
            </w:r>
            <w:r w:rsidRPr="00EA2F26">
              <w:rPr>
                <w:rFonts w:cs="Calibri"/>
                <w:lang w:eastAsia="en-AU"/>
              </w:rPr>
              <w:t xml:space="preserve"> Service-Driven Asset Management strategy and is consistent with corporate asset management process.</w:t>
            </w:r>
          </w:p>
        </w:tc>
      </w:tr>
      <w:tr w:rsidR="00D02973" w:rsidRPr="00EA2F26" w:rsidTr="00DF2FAC">
        <w:tc>
          <w:tcPr>
            <w:tcW w:w="2374" w:type="dxa"/>
            <w:vAlign w:val="center"/>
          </w:tcPr>
          <w:p w:rsidR="00D02973" w:rsidRPr="00EA2F26" w:rsidRDefault="00D02973" w:rsidP="00DF2FAC">
            <w:pPr>
              <w:spacing w:before="40"/>
              <w:rPr>
                <w:rFonts w:cs="Calibri"/>
                <w:lang w:eastAsia="en-AU"/>
              </w:rPr>
            </w:pPr>
            <w:r w:rsidRPr="00EA2F26">
              <w:rPr>
                <w:rFonts w:cs="Calibri"/>
                <w:lang w:eastAsia="en-AU"/>
              </w:rPr>
              <w:t>Manager City Works</w:t>
            </w:r>
          </w:p>
        </w:tc>
        <w:tc>
          <w:tcPr>
            <w:tcW w:w="6578" w:type="dxa"/>
            <w:vAlign w:val="center"/>
          </w:tcPr>
          <w:p w:rsidR="00D02973" w:rsidRPr="00EA2F26" w:rsidRDefault="00D02973" w:rsidP="00DF2FAC">
            <w:pPr>
              <w:spacing w:before="40"/>
              <w:rPr>
                <w:rFonts w:cs="Calibri"/>
                <w:lang w:eastAsia="en-AU"/>
              </w:rPr>
            </w:pPr>
            <w:r w:rsidRPr="00EA2F26">
              <w:rPr>
                <w:rFonts w:cs="Calibri"/>
                <w:lang w:eastAsia="en-AU"/>
              </w:rPr>
              <w:t>To ensure provision of the required/agreed level of maintenance services and renewal for asset components and delivery of upgrade and new capital works.</w:t>
            </w:r>
          </w:p>
        </w:tc>
      </w:tr>
      <w:tr w:rsidR="00D02973" w:rsidRPr="00EA2F26" w:rsidTr="00DF2FAC">
        <w:tc>
          <w:tcPr>
            <w:tcW w:w="2374" w:type="dxa"/>
            <w:vAlign w:val="center"/>
          </w:tcPr>
          <w:p w:rsidR="00D02973" w:rsidRPr="00EA2F26" w:rsidRDefault="00D02973" w:rsidP="00DF2FAC">
            <w:pPr>
              <w:spacing w:before="40"/>
              <w:rPr>
                <w:rFonts w:cs="Calibri"/>
                <w:lang w:eastAsia="en-AU"/>
              </w:rPr>
            </w:pPr>
            <w:r w:rsidRPr="00EA2F26">
              <w:rPr>
                <w:rFonts w:cs="Calibri"/>
                <w:lang w:eastAsia="en-AU"/>
              </w:rPr>
              <w:t>Service-driven Asset Management COG</w:t>
            </w:r>
          </w:p>
        </w:tc>
        <w:tc>
          <w:tcPr>
            <w:tcW w:w="6578" w:type="dxa"/>
            <w:vAlign w:val="center"/>
          </w:tcPr>
          <w:p w:rsidR="00D02973" w:rsidRPr="00EA2F26" w:rsidRDefault="00D02973" w:rsidP="00DF2FAC">
            <w:pPr>
              <w:spacing w:before="40"/>
              <w:rPr>
                <w:rFonts w:cs="Calibri"/>
                <w:lang w:eastAsia="en-AU"/>
              </w:rPr>
            </w:pPr>
            <w:r w:rsidRPr="00EA2F26">
              <w:rPr>
                <w:rFonts w:cs="Calibri"/>
                <w:lang w:eastAsia="en-AU"/>
              </w:rPr>
              <w:t>To embed best practice in service-driven Asset Management across the organisation and to ensure Asset Management planning meets requirements that optimise useful asset life and service provision.</w:t>
            </w:r>
          </w:p>
        </w:tc>
      </w:tr>
      <w:tr w:rsidR="00D02973" w:rsidRPr="00EA2F26" w:rsidTr="00DF2FAC">
        <w:tc>
          <w:tcPr>
            <w:tcW w:w="2374" w:type="dxa"/>
            <w:vAlign w:val="center"/>
          </w:tcPr>
          <w:p w:rsidR="00D02973" w:rsidRPr="00EA2F26" w:rsidRDefault="00D02973" w:rsidP="00DF2FAC">
            <w:pPr>
              <w:spacing w:before="40"/>
              <w:rPr>
                <w:rFonts w:cs="Calibri"/>
                <w:lang w:eastAsia="en-AU"/>
              </w:rPr>
            </w:pPr>
            <w:r w:rsidRPr="00EA2F26">
              <w:rPr>
                <w:rFonts w:cs="Calibri"/>
                <w:lang w:eastAsia="en-AU"/>
              </w:rPr>
              <w:t>Manager Corporate Finance</w:t>
            </w:r>
          </w:p>
        </w:tc>
        <w:tc>
          <w:tcPr>
            <w:tcW w:w="6578" w:type="dxa"/>
            <w:vAlign w:val="center"/>
          </w:tcPr>
          <w:p w:rsidR="00D02973" w:rsidRPr="00EA2F26" w:rsidRDefault="00D02973" w:rsidP="00DF2FAC">
            <w:pPr>
              <w:spacing w:before="40"/>
              <w:rPr>
                <w:rFonts w:cs="Calibri"/>
                <w:lang w:eastAsia="en-AU"/>
              </w:rPr>
            </w:pPr>
            <w:r w:rsidRPr="00EA2F26">
              <w:rPr>
                <w:rFonts w:cs="Calibri"/>
                <w:lang w:eastAsia="en-AU"/>
              </w:rPr>
              <w:t xml:space="preserve">To ensure that adequate financial information is provided to </w:t>
            </w:r>
            <w:r>
              <w:rPr>
                <w:rFonts w:cs="Calibri"/>
                <w:lang w:eastAsia="en-AU"/>
              </w:rPr>
              <w:t>Council</w:t>
            </w:r>
            <w:r w:rsidRPr="00EA2F26">
              <w:rPr>
                <w:rFonts w:cs="Calibri"/>
                <w:lang w:eastAsia="en-AU"/>
              </w:rPr>
              <w:t xml:space="preserve"> and to the relevant asset managers to facilitate sound management of the assets</w:t>
            </w:r>
          </w:p>
        </w:tc>
      </w:tr>
      <w:tr w:rsidR="00D02973" w:rsidRPr="00EA2F26" w:rsidTr="00DF2FAC">
        <w:tc>
          <w:tcPr>
            <w:tcW w:w="2374" w:type="dxa"/>
            <w:vAlign w:val="center"/>
          </w:tcPr>
          <w:p w:rsidR="00D02973" w:rsidRPr="00EA2F26" w:rsidRDefault="00D02973" w:rsidP="00DF2FAC">
            <w:pPr>
              <w:spacing w:before="40"/>
              <w:rPr>
                <w:rFonts w:cs="Calibri"/>
                <w:lang w:eastAsia="en-AU"/>
              </w:rPr>
            </w:pPr>
            <w:r w:rsidRPr="00EA2F26">
              <w:rPr>
                <w:rFonts w:cs="Calibri"/>
                <w:lang w:eastAsia="en-AU"/>
              </w:rPr>
              <w:lastRenderedPageBreak/>
              <w:t>Manager Information Services</w:t>
            </w:r>
          </w:p>
        </w:tc>
        <w:tc>
          <w:tcPr>
            <w:tcW w:w="6578" w:type="dxa"/>
            <w:vAlign w:val="center"/>
          </w:tcPr>
          <w:p w:rsidR="00D02973" w:rsidRPr="00EA2F26" w:rsidRDefault="00D02973" w:rsidP="00DF2FAC">
            <w:pPr>
              <w:spacing w:before="40"/>
              <w:rPr>
                <w:rFonts w:cs="Calibri"/>
                <w:lang w:eastAsia="en-AU"/>
              </w:rPr>
            </w:pPr>
            <w:r w:rsidRPr="00EA2F26">
              <w:rPr>
                <w:rFonts w:cs="Calibri"/>
                <w:lang w:eastAsia="en-AU"/>
              </w:rPr>
              <w:t>To ensure that the relevant IT systems are functioning and that any data within the systems is secure and its integrity is not compromised.</w:t>
            </w:r>
          </w:p>
        </w:tc>
      </w:tr>
      <w:tr w:rsidR="00D02973" w:rsidRPr="00EA2F26" w:rsidTr="00DF2FAC">
        <w:tc>
          <w:tcPr>
            <w:tcW w:w="2374" w:type="dxa"/>
            <w:vAlign w:val="center"/>
          </w:tcPr>
          <w:p w:rsidR="00D02973" w:rsidRPr="00EA2F26" w:rsidRDefault="00D02973" w:rsidP="00DF2FAC">
            <w:pPr>
              <w:spacing w:before="40"/>
              <w:rPr>
                <w:rFonts w:cs="Calibri"/>
                <w:lang w:eastAsia="en-AU"/>
              </w:rPr>
            </w:pPr>
            <w:r w:rsidRPr="00EA2F26">
              <w:rPr>
                <w:rFonts w:cs="Calibri"/>
                <w:lang w:eastAsia="en-AU"/>
              </w:rPr>
              <w:t>Service Area Managers</w:t>
            </w:r>
          </w:p>
        </w:tc>
        <w:tc>
          <w:tcPr>
            <w:tcW w:w="6578" w:type="dxa"/>
            <w:vAlign w:val="center"/>
          </w:tcPr>
          <w:p w:rsidR="00D02973" w:rsidRPr="00EA2F26" w:rsidRDefault="00D02973" w:rsidP="00DF2FAC">
            <w:pPr>
              <w:spacing w:before="40"/>
              <w:rPr>
                <w:rFonts w:cs="Calibri"/>
                <w:lang w:eastAsia="en-AU"/>
              </w:rPr>
            </w:pPr>
            <w:r w:rsidRPr="00EA2F26">
              <w:rPr>
                <w:rFonts w:cs="Calibri"/>
                <w:lang w:eastAsia="en-AU"/>
              </w:rPr>
              <w:t>Service managers are responsible for understanding expectations of levels of service through effective, ongoing engagement with the community (users of the service). Planning for changes to operations and maintenance, renewal and upgrade of existing recreation and open space assets depending on the outcomes of the community engagement and research on service level provisions. Service Area Managers are the Manager Recreation, Events and Social Development, and the Manager Environmenta</w:t>
            </w:r>
            <w:r>
              <w:rPr>
                <w:rFonts w:cs="Calibri"/>
                <w:lang w:eastAsia="en-AU"/>
              </w:rPr>
              <w:t>l Sustainability and Open Space</w:t>
            </w:r>
            <w:r w:rsidRPr="00EA2F26">
              <w:rPr>
                <w:rFonts w:cs="Calibri"/>
                <w:lang w:eastAsia="en-AU"/>
              </w:rPr>
              <w:t>.</w:t>
            </w:r>
          </w:p>
        </w:tc>
      </w:tr>
      <w:tr w:rsidR="00D02973" w:rsidRPr="00EA2F26" w:rsidTr="00DF2FAC">
        <w:tc>
          <w:tcPr>
            <w:tcW w:w="2374" w:type="dxa"/>
            <w:vAlign w:val="center"/>
          </w:tcPr>
          <w:p w:rsidR="00D02973" w:rsidRPr="00EA2F26" w:rsidRDefault="00D02973" w:rsidP="00DF2FAC">
            <w:pPr>
              <w:spacing w:before="40"/>
              <w:rPr>
                <w:rFonts w:cs="Calibri"/>
                <w:lang w:eastAsia="en-AU"/>
              </w:rPr>
            </w:pPr>
            <w:r w:rsidRPr="00EA2F26">
              <w:rPr>
                <w:rFonts w:cs="Calibri"/>
                <w:lang w:eastAsia="en-AU"/>
              </w:rPr>
              <w:t>Manager Commercial Services</w:t>
            </w:r>
          </w:p>
        </w:tc>
        <w:tc>
          <w:tcPr>
            <w:tcW w:w="6578" w:type="dxa"/>
            <w:vAlign w:val="center"/>
          </w:tcPr>
          <w:p w:rsidR="00D02973" w:rsidRPr="00EA2F26" w:rsidRDefault="00D02973" w:rsidP="00DF2FAC">
            <w:pPr>
              <w:spacing w:before="40"/>
              <w:rPr>
                <w:rFonts w:cs="Calibri"/>
                <w:lang w:eastAsia="en-AU"/>
              </w:rPr>
            </w:pPr>
            <w:r w:rsidRPr="00EA2F26">
              <w:rPr>
                <w:rFonts w:cs="Calibri"/>
                <w:lang w:eastAsia="en-AU"/>
              </w:rPr>
              <w:t xml:space="preserve">To ensure that risk management practices are conducted as per </w:t>
            </w:r>
            <w:r>
              <w:rPr>
                <w:rFonts w:cs="Calibri"/>
                <w:lang w:eastAsia="en-AU"/>
              </w:rPr>
              <w:t>Council</w:t>
            </w:r>
            <w:r w:rsidRPr="00EA2F26">
              <w:rPr>
                <w:rFonts w:cs="Calibri"/>
                <w:lang w:eastAsia="en-AU"/>
              </w:rPr>
              <w:t xml:space="preserve"> policy and assist operations managers with advice on risk issues.</w:t>
            </w:r>
          </w:p>
        </w:tc>
      </w:tr>
      <w:tr w:rsidR="00D02973" w:rsidRPr="00EA2F26" w:rsidTr="00DF2FAC">
        <w:tc>
          <w:tcPr>
            <w:tcW w:w="2374" w:type="dxa"/>
            <w:vAlign w:val="center"/>
          </w:tcPr>
          <w:p w:rsidR="00D02973" w:rsidRPr="00EA2F26" w:rsidRDefault="00D02973" w:rsidP="00DF2FAC">
            <w:pPr>
              <w:spacing w:before="40"/>
              <w:rPr>
                <w:rFonts w:cs="Calibri"/>
                <w:lang w:eastAsia="en-AU"/>
              </w:rPr>
            </w:pPr>
            <w:r w:rsidRPr="00EA2F26">
              <w:rPr>
                <w:rFonts w:cs="Calibri"/>
                <w:lang w:eastAsia="en-AU"/>
              </w:rPr>
              <w:t>Internal auditors</w:t>
            </w:r>
          </w:p>
        </w:tc>
        <w:tc>
          <w:tcPr>
            <w:tcW w:w="6578" w:type="dxa"/>
            <w:vAlign w:val="center"/>
          </w:tcPr>
          <w:p w:rsidR="00D02973" w:rsidRPr="00EA2F26" w:rsidRDefault="00D02973" w:rsidP="00DF2FAC">
            <w:pPr>
              <w:spacing w:before="40"/>
              <w:rPr>
                <w:rFonts w:cs="Calibri"/>
                <w:lang w:eastAsia="en-AU"/>
              </w:rPr>
            </w:pPr>
            <w:r w:rsidRPr="00EA2F26">
              <w:rPr>
                <w:rFonts w:cs="Calibri"/>
                <w:lang w:eastAsia="en-AU"/>
              </w:rPr>
              <w:t>To ensure that appropriate policy practices are carried out and to advise and assist on improvements</w:t>
            </w:r>
          </w:p>
        </w:tc>
      </w:tr>
    </w:tbl>
    <w:p w:rsidR="00D02973" w:rsidRPr="00EA2F26" w:rsidRDefault="00D02973" w:rsidP="00D02973"/>
    <w:tbl>
      <w:tblPr>
        <w:tblStyle w:val="TableGrid2"/>
        <w:tblW w:w="0" w:type="auto"/>
        <w:tblInd w:w="108" w:type="dxa"/>
        <w:tblLook w:val="04A0" w:firstRow="1" w:lastRow="0" w:firstColumn="1" w:lastColumn="0" w:noHBand="0" w:noVBand="1"/>
      </w:tblPr>
      <w:tblGrid>
        <w:gridCol w:w="2366"/>
        <w:gridCol w:w="6543"/>
      </w:tblGrid>
      <w:tr w:rsidR="00D02973" w:rsidRPr="00EA2F26" w:rsidTr="00DF2FAC">
        <w:trPr>
          <w:trHeight w:val="397"/>
        </w:trPr>
        <w:tc>
          <w:tcPr>
            <w:tcW w:w="8952" w:type="dxa"/>
            <w:gridSpan w:val="2"/>
            <w:tcBorders>
              <w:bottom w:val="single" w:sz="4" w:space="0" w:color="auto"/>
            </w:tcBorders>
            <w:shd w:val="clear" w:color="auto" w:fill="000000" w:themeFill="text1"/>
            <w:vAlign w:val="center"/>
          </w:tcPr>
          <w:p w:rsidR="00D02973" w:rsidRPr="00EA2F26" w:rsidRDefault="00D02973" w:rsidP="00DF2FAC">
            <w:pPr>
              <w:rPr>
                <w:color w:val="FFFFFF" w:themeColor="background1"/>
              </w:rPr>
            </w:pPr>
            <w:r w:rsidRPr="00EA2F26">
              <w:rPr>
                <w:color w:val="FFFFFF" w:themeColor="background1"/>
              </w:rPr>
              <w:t>External  Stakeholders</w:t>
            </w:r>
          </w:p>
        </w:tc>
      </w:tr>
      <w:tr w:rsidR="00D02973" w:rsidRPr="00EA2F26" w:rsidTr="00DF2FAC">
        <w:trPr>
          <w:trHeight w:val="397"/>
        </w:trPr>
        <w:tc>
          <w:tcPr>
            <w:tcW w:w="2374" w:type="dxa"/>
            <w:shd w:val="clear" w:color="auto" w:fill="000000" w:themeFill="text1"/>
            <w:vAlign w:val="center"/>
          </w:tcPr>
          <w:p w:rsidR="00D02973" w:rsidRPr="00EA2F26" w:rsidRDefault="00D02973" w:rsidP="00DF2FAC">
            <w:pPr>
              <w:spacing w:before="40"/>
              <w:rPr>
                <w:rFonts w:cs="Calibri"/>
                <w:color w:val="FFFFFF" w:themeColor="background1"/>
                <w:lang w:eastAsia="en-AU"/>
              </w:rPr>
            </w:pPr>
            <w:r w:rsidRPr="00EA2F26">
              <w:rPr>
                <w:rFonts w:cs="Calibri"/>
                <w:color w:val="FFFFFF" w:themeColor="background1"/>
                <w:lang w:eastAsia="en-AU"/>
              </w:rPr>
              <w:t>Stakeholder Group</w:t>
            </w:r>
          </w:p>
        </w:tc>
        <w:tc>
          <w:tcPr>
            <w:tcW w:w="6578" w:type="dxa"/>
            <w:shd w:val="clear" w:color="auto" w:fill="000000" w:themeFill="text1"/>
            <w:vAlign w:val="center"/>
          </w:tcPr>
          <w:p w:rsidR="00D02973" w:rsidRPr="00EA2F26" w:rsidRDefault="00D02973" w:rsidP="00DF2FAC">
            <w:pPr>
              <w:spacing w:before="40"/>
              <w:rPr>
                <w:rFonts w:cs="Calibri"/>
                <w:color w:val="FFFFFF" w:themeColor="background1"/>
                <w:lang w:eastAsia="en-AU"/>
              </w:rPr>
            </w:pPr>
            <w:r w:rsidRPr="00EA2F26">
              <w:rPr>
                <w:rFonts w:cs="Calibri"/>
                <w:color w:val="FFFFFF" w:themeColor="background1"/>
                <w:lang w:eastAsia="en-AU"/>
              </w:rPr>
              <w:t>Role or Involvement</w:t>
            </w:r>
          </w:p>
        </w:tc>
      </w:tr>
      <w:tr w:rsidR="00D02973" w:rsidRPr="00EA2F26" w:rsidTr="00DF2FAC">
        <w:tc>
          <w:tcPr>
            <w:tcW w:w="2374" w:type="dxa"/>
            <w:vAlign w:val="center"/>
          </w:tcPr>
          <w:p w:rsidR="00D02973" w:rsidRPr="00EA2F26" w:rsidRDefault="00D02973" w:rsidP="00DF2FAC">
            <w:pPr>
              <w:spacing w:before="40"/>
              <w:rPr>
                <w:rFonts w:cs="Calibri"/>
                <w:lang w:eastAsia="en-AU"/>
              </w:rPr>
            </w:pPr>
            <w:r w:rsidRPr="00EA2F26">
              <w:rPr>
                <w:rFonts w:cs="Calibri"/>
                <w:lang w:eastAsia="en-AU"/>
              </w:rPr>
              <w:t>Community</w:t>
            </w:r>
          </w:p>
        </w:tc>
        <w:tc>
          <w:tcPr>
            <w:tcW w:w="6578" w:type="dxa"/>
            <w:vAlign w:val="center"/>
          </w:tcPr>
          <w:p w:rsidR="00D02973" w:rsidRPr="00EA2F26" w:rsidRDefault="00D02973" w:rsidP="00DF2FAC">
            <w:pPr>
              <w:spacing w:before="40"/>
              <w:rPr>
                <w:rFonts w:cs="Calibri"/>
                <w:lang w:eastAsia="en-AU"/>
              </w:rPr>
            </w:pPr>
            <w:r w:rsidRPr="00EA2F26">
              <w:rPr>
                <w:rFonts w:cs="Calibri"/>
                <w:lang w:eastAsia="en-AU"/>
              </w:rPr>
              <w:t xml:space="preserve">General users/beneficiaries of the service provided by the </w:t>
            </w:r>
            <w:r w:rsidRPr="00EA2F26">
              <w:rPr>
                <w:rFonts w:cs="Calibri"/>
                <w:color w:val="000000"/>
              </w:rPr>
              <w:t>recreation and open space assets</w:t>
            </w:r>
            <w:r w:rsidRPr="00EA2F26">
              <w:rPr>
                <w:rFonts w:cs="Calibri"/>
                <w:lang w:eastAsia="en-AU"/>
              </w:rPr>
              <w:t xml:space="preserve">, </w:t>
            </w:r>
            <w:r>
              <w:rPr>
                <w:rFonts w:cs="Calibri"/>
                <w:lang w:eastAsia="en-AU"/>
              </w:rPr>
              <w:t>including residents,</w:t>
            </w:r>
            <w:r w:rsidRPr="00EA2F26">
              <w:rPr>
                <w:rFonts w:cs="Calibri"/>
                <w:lang w:eastAsia="en-AU"/>
              </w:rPr>
              <w:t xml:space="preserve"> tourists and visitors to the area. </w:t>
            </w:r>
          </w:p>
        </w:tc>
      </w:tr>
      <w:tr w:rsidR="00D02973" w:rsidRPr="00EA2F26" w:rsidTr="00DF2FAC">
        <w:tc>
          <w:tcPr>
            <w:tcW w:w="2374" w:type="dxa"/>
            <w:vAlign w:val="center"/>
          </w:tcPr>
          <w:p w:rsidR="00D02973" w:rsidRPr="00EA2F26" w:rsidRDefault="00D02973" w:rsidP="00DF2FAC">
            <w:pPr>
              <w:spacing w:before="40"/>
              <w:rPr>
                <w:rFonts w:cs="Calibri"/>
                <w:lang w:eastAsia="en-AU"/>
              </w:rPr>
            </w:pPr>
            <w:r w:rsidRPr="00EA2F26">
              <w:rPr>
                <w:rFonts w:cs="Calibri"/>
                <w:lang w:eastAsia="en-AU"/>
              </w:rPr>
              <w:t>Maintenance contractors (external)</w:t>
            </w:r>
          </w:p>
        </w:tc>
        <w:tc>
          <w:tcPr>
            <w:tcW w:w="6578" w:type="dxa"/>
            <w:vAlign w:val="center"/>
          </w:tcPr>
          <w:p w:rsidR="00D02973" w:rsidRPr="00EA2F26" w:rsidRDefault="00D02973" w:rsidP="00DF2FAC">
            <w:pPr>
              <w:spacing w:before="40"/>
              <w:rPr>
                <w:rFonts w:cs="Calibri"/>
                <w:lang w:eastAsia="en-AU"/>
              </w:rPr>
            </w:pPr>
            <w:r w:rsidRPr="00EA2F26">
              <w:rPr>
                <w:rFonts w:cs="Calibri"/>
                <w:lang w:eastAsia="en-AU"/>
              </w:rPr>
              <w:t>To ensure provision of the required/agreed level of maintenance services for assets;</w:t>
            </w:r>
          </w:p>
        </w:tc>
      </w:tr>
      <w:tr w:rsidR="00D02973" w:rsidRPr="00EA2F26" w:rsidTr="00DF2FAC">
        <w:tc>
          <w:tcPr>
            <w:tcW w:w="2374" w:type="dxa"/>
            <w:vAlign w:val="center"/>
          </w:tcPr>
          <w:p w:rsidR="00D02973" w:rsidRPr="00EA2F26" w:rsidRDefault="00D02973" w:rsidP="00DF2FAC">
            <w:pPr>
              <w:spacing w:before="40"/>
              <w:rPr>
                <w:rFonts w:cs="Calibri"/>
                <w:lang w:eastAsia="en-AU"/>
              </w:rPr>
            </w:pPr>
            <w:r w:rsidRPr="00EA2F26">
              <w:rPr>
                <w:rFonts w:cs="Calibri"/>
                <w:lang w:eastAsia="en-AU"/>
              </w:rPr>
              <w:t>Utility Service Providers</w:t>
            </w:r>
          </w:p>
        </w:tc>
        <w:tc>
          <w:tcPr>
            <w:tcW w:w="6578" w:type="dxa"/>
            <w:vAlign w:val="center"/>
          </w:tcPr>
          <w:p w:rsidR="00D02973" w:rsidRPr="00EA2F26" w:rsidRDefault="00D02973" w:rsidP="00DF2FAC">
            <w:pPr>
              <w:spacing w:before="40"/>
              <w:rPr>
                <w:rFonts w:cs="Calibri"/>
                <w:lang w:eastAsia="en-AU"/>
              </w:rPr>
            </w:pPr>
            <w:r w:rsidRPr="00EA2F26">
              <w:rPr>
                <w:rFonts w:cs="Calibri"/>
                <w:lang w:eastAsia="en-AU"/>
              </w:rPr>
              <w:t>Agencies that provide utility services such as electricity, gas, water, sewerage, telecommunications, necessary to facilitate recreation and open space services.</w:t>
            </w:r>
          </w:p>
        </w:tc>
      </w:tr>
      <w:tr w:rsidR="00D02973" w:rsidRPr="00EA2F26" w:rsidTr="00DF2FAC">
        <w:tc>
          <w:tcPr>
            <w:tcW w:w="2374" w:type="dxa"/>
            <w:vAlign w:val="center"/>
          </w:tcPr>
          <w:p w:rsidR="00D02973" w:rsidRPr="00EA2F26" w:rsidRDefault="00D02973" w:rsidP="00DF2FAC">
            <w:pPr>
              <w:spacing w:before="40"/>
              <w:rPr>
                <w:rFonts w:cs="Calibri"/>
                <w:lang w:eastAsia="en-AU"/>
              </w:rPr>
            </w:pPr>
            <w:r w:rsidRPr="00EA2F26">
              <w:rPr>
                <w:rFonts w:cs="Calibri"/>
                <w:lang w:eastAsia="en-AU"/>
              </w:rPr>
              <w:t>State and Federal Government Departments</w:t>
            </w:r>
          </w:p>
        </w:tc>
        <w:tc>
          <w:tcPr>
            <w:tcW w:w="6578" w:type="dxa"/>
            <w:vAlign w:val="center"/>
          </w:tcPr>
          <w:p w:rsidR="00D02973" w:rsidRPr="00EA2F26" w:rsidRDefault="00D02973" w:rsidP="00DF2FAC">
            <w:pPr>
              <w:spacing w:before="40"/>
              <w:rPr>
                <w:rFonts w:cs="Calibri"/>
                <w:lang w:eastAsia="en-AU"/>
              </w:rPr>
            </w:pPr>
            <w:r w:rsidRPr="00EA2F26">
              <w:rPr>
                <w:rFonts w:cs="Calibri"/>
                <w:lang w:eastAsia="en-AU"/>
              </w:rPr>
              <w:t>Periodic provision of advice, instruction and support funding to assist with management of the drainage network.</w:t>
            </w:r>
          </w:p>
        </w:tc>
      </w:tr>
      <w:tr w:rsidR="00D02973" w:rsidRPr="00EA2F26" w:rsidTr="00DF2FAC">
        <w:tc>
          <w:tcPr>
            <w:tcW w:w="2374" w:type="dxa"/>
            <w:vAlign w:val="center"/>
          </w:tcPr>
          <w:p w:rsidR="00D02973" w:rsidRPr="00EA2F26" w:rsidRDefault="00D02973" w:rsidP="00DF2FAC">
            <w:pPr>
              <w:spacing w:before="40"/>
              <w:rPr>
                <w:rFonts w:cs="Calibri"/>
                <w:lang w:eastAsia="en-AU"/>
              </w:rPr>
            </w:pPr>
            <w:r>
              <w:rPr>
                <w:rFonts w:cs="Calibri"/>
                <w:lang w:eastAsia="en-AU"/>
              </w:rPr>
              <w:t>Council</w:t>
            </w:r>
            <w:r w:rsidRPr="00EA2F26">
              <w:rPr>
                <w:rFonts w:cs="Calibri"/>
                <w:lang w:eastAsia="en-AU"/>
              </w:rPr>
              <w:t>’s Insurer.</w:t>
            </w:r>
          </w:p>
        </w:tc>
        <w:tc>
          <w:tcPr>
            <w:tcW w:w="6578" w:type="dxa"/>
            <w:vAlign w:val="center"/>
          </w:tcPr>
          <w:p w:rsidR="00D02973" w:rsidRPr="00EA2F26" w:rsidRDefault="00D02973" w:rsidP="00DF2FAC">
            <w:pPr>
              <w:spacing w:before="40"/>
              <w:rPr>
                <w:rFonts w:cs="Calibri"/>
                <w:lang w:eastAsia="en-AU"/>
              </w:rPr>
            </w:pPr>
            <w:r w:rsidRPr="00EA2F26">
              <w:rPr>
                <w:rFonts w:cs="Calibri"/>
                <w:lang w:eastAsia="en-AU"/>
              </w:rPr>
              <w:t>Insurance and risk management issues.</w:t>
            </w:r>
          </w:p>
        </w:tc>
      </w:tr>
    </w:tbl>
    <w:p w:rsidR="00D02973" w:rsidRPr="00DF2FAC" w:rsidRDefault="00D02973" w:rsidP="00D02973">
      <w:pPr>
        <w:pStyle w:val="Heading2"/>
        <w:spacing w:after="200"/>
        <w:rPr>
          <w:rFonts w:asciiTheme="minorHAnsi" w:hAnsiTheme="minorHAnsi"/>
          <w:color w:val="2E74B5" w:themeColor="accent1" w:themeShade="BF"/>
        </w:rPr>
      </w:pPr>
      <w:bookmarkStart w:id="8" w:name="_Toc448475165"/>
      <w:r w:rsidRPr="00DF2FAC">
        <w:rPr>
          <w:rFonts w:asciiTheme="minorHAnsi" w:hAnsiTheme="minorHAnsi"/>
          <w:color w:val="2E74B5" w:themeColor="accent1" w:themeShade="BF"/>
        </w:rPr>
        <w:lastRenderedPageBreak/>
        <w:t>1.5</w:t>
      </w:r>
      <w:r w:rsidRPr="00DF2FAC">
        <w:rPr>
          <w:rFonts w:asciiTheme="minorHAnsi" w:hAnsiTheme="minorHAnsi"/>
          <w:color w:val="2E74B5" w:themeColor="accent1" w:themeShade="BF"/>
        </w:rPr>
        <w:tab/>
        <w:t>Legislative Requirements</w:t>
      </w:r>
      <w:bookmarkEnd w:id="8"/>
    </w:p>
    <w:p w:rsidR="00D02973" w:rsidRPr="00EA2F26" w:rsidRDefault="00D02973" w:rsidP="00D02973">
      <w:r w:rsidRPr="00EA2F26">
        <w:t xml:space="preserve">The legislation relevant to the provision of services within </w:t>
      </w:r>
      <w:r>
        <w:t>Council’</w:t>
      </w:r>
      <w:r w:rsidRPr="00EA2F26">
        <w:t xml:space="preserve">s recreation and open space assets </w:t>
      </w:r>
      <w:r>
        <w:t>is</w:t>
      </w:r>
      <w:r w:rsidRPr="00EA2F26">
        <w:t xml:space="preserve"> listed in Table 2 below. This list is not exhaustive, but includes the key overarching Acts and Codes.</w:t>
      </w:r>
    </w:p>
    <w:p w:rsidR="00D02973" w:rsidRPr="00EA2F26" w:rsidRDefault="00D02973" w:rsidP="00D02973">
      <w:pPr>
        <w:rPr>
          <w:b/>
        </w:rPr>
      </w:pPr>
      <w:r w:rsidRPr="00EA2F26">
        <w:rPr>
          <w:b/>
        </w:rPr>
        <w:t>Table 2: Legislation Relevant to Management of Recreation and Open Space Assets.</w:t>
      </w:r>
    </w:p>
    <w:tbl>
      <w:tblPr>
        <w:tblW w:w="9407" w:type="dxa"/>
        <w:tblInd w:w="108" w:type="dxa"/>
        <w:tblBorders>
          <w:top w:val="nil"/>
          <w:left w:val="nil"/>
          <w:bottom w:val="nil"/>
          <w:right w:val="nil"/>
        </w:tblBorders>
        <w:tblLayout w:type="fixed"/>
        <w:tblLook w:val="0000" w:firstRow="0" w:lastRow="0" w:firstColumn="0" w:lastColumn="0" w:noHBand="0" w:noVBand="0"/>
      </w:tblPr>
      <w:tblGrid>
        <w:gridCol w:w="4593"/>
        <w:gridCol w:w="4814"/>
      </w:tblGrid>
      <w:tr w:rsidR="00D02973" w:rsidRPr="00EA2F26" w:rsidTr="00DF2FAC">
        <w:trPr>
          <w:trHeight w:val="110"/>
        </w:trPr>
        <w:tc>
          <w:tcPr>
            <w:tcW w:w="4593" w:type="dxa"/>
            <w:tcBorders>
              <w:top w:val="single" w:sz="4" w:space="0" w:color="auto"/>
              <w:left w:val="single" w:sz="4" w:space="0" w:color="auto"/>
              <w:bottom w:val="single" w:sz="4" w:space="0" w:color="auto"/>
              <w:right w:val="single" w:sz="4" w:space="0" w:color="auto"/>
            </w:tcBorders>
            <w:shd w:val="clear" w:color="auto" w:fill="000000" w:themeFill="text1"/>
          </w:tcPr>
          <w:p w:rsidR="00D02973" w:rsidRPr="00EA2F26" w:rsidRDefault="00D02973" w:rsidP="00DF2FAC">
            <w:pPr>
              <w:autoSpaceDE w:val="0"/>
              <w:autoSpaceDN w:val="0"/>
              <w:adjustRightInd w:val="0"/>
              <w:rPr>
                <w:rFonts w:cs="Calibri"/>
                <w:b/>
                <w:bCs/>
                <w:color w:val="FFFFFF" w:themeColor="background1"/>
              </w:rPr>
            </w:pPr>
            <w:r w:rsidRPr="00EA2F26">
              <w:rPr>
                <w:rFonts w:cs="Calibri"/>
                <w:b/>
                <w:bCs/>
                <w:color w:val="FFFFFF" w:themeColor="background1"/>
              </w:rPr>
              <w:t>Recreation and Open Space Assets Legislation</w:t>
            </w:r>
          </w:p>
        </w:tc>
        <w:tc>
          <w:tcPr>
            <w:tcW w:w="4814" w:type="dxa"/>
            <w:tcBorders>
              <w:top w:val="single" w:sz="4" w:space="0" w:color="auto"/>
              <w:left w:val="single" w:sz="4" w:space="0" w:color="auto"/>
              <w:bottom w:val="single" w:sz="4" w:space="0" w:color="auto"/>
              <w:right w:val="single" w:sz="4" w:space="0" w:color="auto"/>
            </w:tcBorders>
            <w:shd w:val="clear" w:color="auto" w:fill="000000" w:themeFill="text1"/>
          </w:tcPr>
          <w:p w:rsidR="00D02973" w:rsidRPr="00EA2F26" w:rsidRDefault="00D02973" w:rsidP="00DF2FAC">
            <w:pPr>
              <w:autoSpaceDE w:val="0"/>
              <w:autoSpaceDN w:val="0"/>
              <w:adjustRightInd w:val="0"/>
              <w:rPr>
                <w:rFonts w:cs="Calibri"/>
                <w:b/>
                <w:bCs/>
                <w:color w:val="FFFFFF" w:themeColor="background1"/>
              </w:rPr>
            </w:pPr>
            <w:r w:rsidRPr="00EA2F26">
              <w:rPr>
                <w:rFonts w:cs="Calibri"/>
                <w:b/>
                <w:bCs/>
                <w:color w:val="FFFFFF" w:themeColor="background1"/>
              </w:rPr>
              <w:t>Requirement</w:t>
            </w:r>
          </w:p>
        </w:tc>
      </w:tr>
      <w:tr w:rsidR="00D02973" w:rsidRPr="00EA2F26" w:rsidTr="00DF2FAC">
        <w:trPr>
          <w:trHeight w:val="513"/>
        </w:trPr>
        <w:tc>
          <w:tcPr>
            <w:tcW w:w="4593" w:type="dxa"/>
            <w:tcBorders>
              <w:top w:val="single" w:sz="4" w:space="0" w:color="auto"/>
              <w:left w:val="single" w:sz="4" w:space="0" w:color="auto"/>
              <w:bottom w:val="single" w:sz="4" w:space="0" w:color="auto"/>
              <w:right w:val="single" w:sz="4" w:space="0" w:color="auto"/>
            </w:tcBorders>
          </w:tcPr>
          <w:p w:rsidR="00D02973" w:rsidRPr="00EA2F26" w:rsidRDefault="00D02973" w:rsidP="00DF2FAC">
            <w:pPr>
              <w:autoSpaceDE w:val="0"/>
              <w:autoSpaceDN w:val="0"/>
              <w:adjustRightInd w:val="0"/>
              <w:rPr>
                <w:rFonts w:cs="Calibri"/>
                <w:color w:val="000000"/>
              </w:rPr>
            </w:pPr>
            <w:r w:rsidRPr="00EA2F26">
              <w:rPr>
                <w:rFonts w:cs="Calibri"/>
                <w:bCs/>
                <w:color w:val="000000"/>
              </w:rPr>
              <w:t xml:space="preserve">Local Government Act 1989 </w:t>
            </w:r>
          </w:p>
        </w:tc>
        <w:tc>
          <w:tcPr>
            <w:tcW w:w="4814" w:type="dxa"/>
            <w:tcBorders>
              <w:top w:val="single" w:sz="4" w:space="0" w:color="auto"/>
              <w:left w:val="single" w:sz="4" w:space="0" w:color="auto"/>
              <w:bottom w:val="single" w:sz="4" w:space="0" w:color="auto"/>
              <w:right w:val="single" w:sz="4" w:space="0" w:color="auto"/>
            </w:tcBorders>
          </w:tcPr>
          <w:p w:rsidR="00D02973" w:rsidRPr="00EA2F26" w:rsidRDefault="00D02973" w:rsidP="00DF2FAC">
            <w:pPr>
              <w:autoSpaceDE w:val="0"/>
              <w:autoSpaceDN w:val="0"/>
              <w:adjustRightInd w:val="0"/>
              <w:rPr>
                <w:rFonts w:cs="Calibri"/>
                <w:color w:val="000000"/>
              </w:rPr>
            </w:pPr>
            <w:r w:rsidRPr="00EA2F26">
              <w:rPr>
                <w:rFonts w:cs="Calibri"/>
                <w:color w:val="000000"/>
              </w:rPr>
              <w:t xml:space="preserve">Sets out role, purpose, responsibilities and powers of local governments including the preparation of a long term financial plan supported by asset management plans for sustainable service delivery. </w:t>
            </w:r>
          </w:p>
        </w:tc>
      </w:tr>
      <w:tr w:rsidR="00D02973" w:rsidRPr="00EA2F26" w:rsidTr="00DF2FAC">
        <w:trPr>
          <w:trHeight w:val="347"/>
        </w:trPr>
        <w:tc>
          <w:tcPr>
            <w:tcW w:w="4593" w:type="dxa"/>
            <w:tcBorders>
              <w:top w:val="single" w:sz="4" w:space="0" w:color="auto"/>
              <w:left w:val="single" w:sz="4" w:space="0" w:color="auto"/>
              <w:bottom w:val="single" w:sz="4" w:space="0" w:color="auto"/>
              <w:right w:val="single" w:sz="4" w:space="0" w:color="auto"/>
            </w:tcBorders>
          </w:tcPr>
          <w:p w:rsidR="00D02973" w:rsidRPr="00EA2F26" w:rsidRDefault="00D02973" w:rsidP="00DF2FAC">
            <w:pPr>
              <w:autoSpaceDE w:val="0"/>
              <w:autoSpaceDN w:val="0"/>
              <w:adjustRightInd w:val="0"/>
              <w:rPr>
                <w:rFonts w:cs="Calibri"/>
                <w:color w:val="000000"/>
              </w:rPr>
            </w:pPr>
            <w:r w:rsidRPr="00EA2F26">
              <w:rPr>
                <w:rFonts w:cs="Calibri"/>
                <w:bCs/>
                <w:color w:val="000000"/>
              </w:rPr>
              <w:t xml:space="preserve">Public Health Act &amp; Well Being Act 2008 </w:t>
            </w:r>
          </w:p>
        </w:tc>
        <w:tc>
          <w:tcPr>
            <w:tcW w:w="4814" w:type="dxa"/>
            <w:tcBorders>
              <w:top w:val="single" w:sz="4" w:space="0" w:color="auto"/>
              <w:left w:val="single" w:sz="4" w:space="0" w:color="auto"/>
              <w:bottom w:val="single" w:sz="4" w:space="0" w:color="auto"/>
              <w:right w:val="single" w:sz="4" w:space="0" w:color="auto"/>
            </w:tcBorders>
          </w:tcPr>
          <w:p w:rsidR="00D02973" w:rsidRPr="00EA2F26" w:rsidRDefault="00D02973" w:rsidP="00DF2FAC">
            <w:pPr>
              <w:autoSpaceDE w:val="0"/>
              <w:autoSpaceDN w:val="0"/>
              <w:adjustRightInd w:val="0"/>
              <w:rPr>
                <w:rFonts w:cs="Calibri"/>
                <w:color w:val="000000"/>
              </w:rPr>
            </w:pPr>
            <w:r w:rsidRPr="00EA2F26">
              <w:rPr>
                <w:rFonts w:cs="Calibri"/>
                <w:color w:val="000000"/>
              </w:rPr>
              <w:t xml:space="preserve">The purpose of this Act is to enact a new legislative scheme which promotes and protects public health and wellbeing in Victoria. </w:t>
            </w:r>
          </w:p>
        </w:tc>
      </w:tr>
      <w:tr w:rsidR="00D02973" w:rsidRPr="00EA2F26" w:rsidTr="00DF2FAC">
        <w:trPr>
          <w:trHeight w:val="1244"/>
        </w:trPr>
        <w:tc>
          <w:tcPr>
            <w:tcW w:w="4593" w:type="dxa"/>
            <w:tcBorders>
              <w:top w:val="single" w:sz="4" w:space="0" w:color="auto"/>
              <w:left w:val="single" w:sz="4" w:space="0" w:color="auto"/>
              <w:bottom w:val="single" w:sz="4" w:space="0" w:color="auto"/>
              <w:right w:val="single" w:sz="4" w:space="0" w:color="auto"/>
            </w:tcBorders>
          </w:tcPr>
          <w:p w:rsidR="00D02973" w:rsidRPr="00EA2F26" w:rsidRDefault="00D02973" w:rsidP="00DF2FAC">
            <w:pPr>
              <w:autoSpaceDE w:val="0"/>
              <w:autoSpaceDN w:val="0"/>
              <w:adjustRightInd w:val="0"/>
              <w:rPr>
                <w:rFonts w:cs="Calibri"/>
                <w:color w:val="000000"/>
              </w:rPr>
            </w:pPr>
            <w:r w:rsidRPr="00EA2F26">
              <w:rPr>
                <w:rFonts w:cs="Calibri"/>
                <w:bCs/>
                <w:color w:val="000000"/>
              </w:rPr>
              <w:t xml:space="preserve">Building Act 1993 &amp; Building Regulations 2006 </w:t>
            </w:r>
          </w:p>
        </w:tc>
        <w:tc>
          <w:tcPr>
            <w:tcW w:w="4814" w:type="dxa"/>
            <w:tcBorders>
              <w:top w:val="single" w:sz="4" w:space="0" w:color="auto"/>
              <w:left w:val="single" w:sz="4" w:space="0" w:color="auto"/>
              <w:bottom w:val="single" w:sz="4" w:space="0" w:color="auto"/>
              <w:right w:val="single" w:sz="4" w:space="0" w:color="auto"/>
            </w:tcBorders>
          </w:tcPr>
          <w:p w:rsidR="00D02973" w:rsidRPr="00EA2F26" w:rsidRDefault="00D02973" w:rsidP="00DF2FAC">
            <w:pPr>
              <w:autoSpaceDE w:val="0"/>
              <w:autoSpaceDN w:val="0"/>
              <w:adjustRightInd w:val="0"/>
              <w:rPr>
                <w:rFonts w:cs="Calibri"/>
                <w:color w:val="000000"/>
              </w:rPr>
            </w:pPr>
            <w:r w:rsidRPr="00EA2F26">
              <w:rPr>
                <w:rFonts w:cs="Calibri"/>
                <w:color w:val="000000"/>
              </w:rPr>
              <w:t xml:space="preserve">The Act sets out the legal framework for the regulation of construction of recreation and open spaces and other structures, recreation and open space standards and maintenance of specific recreation and open space safety features in Victoria. </w:t>
            </w:r>
          </w:p>
          <w:p w:rsidR="00D02973" w:rsidRPr="00EA2F26" w:rsidRDefault="00D02973" w:rsidP="00DF2FAC">
            <w:pPr>
              <w:autoSpaceDE w:val="0"/>
              <w:autoSpaceDN w:val="0"/>
              <w:adjustRightInd w:val="0"/>
              <w:rPr>
                <w:rFonts w:cs="Calibri"/>
                <w:color w:val="000000"/>
              </w:rPr>
            </w:pPr>
            <w:r w:rsidRPr="00EA2F26">
              <w:rPr>
                <w:rFonts w:cs="Calibri"/>
                <w:color w:val="000000"/>
              </w:rPr>
              <w:t xml:space="preserve">The Regulations are derived from the Act and contain, amongst other things, the requirements relating to recreation and open space permits and recreation and open space inspections. </w:t>
            </w:r>
          </w:p>
          <w:p w:rsidR="00D02973" w:rsidRPr="00EA2F26" w:rsidRDefault="00D02973" w:rsidP="00DF2FAC">
            <w:pPr>
              <w:autoSpaceDE w:val="0"/>
              <w:autoSpaceDN w:val="0"/>
              <w:adjustRightInd w:val="0"/>
              <w:rPr>
                <w:rFonts w:cs="Calibri"/>
                <w:color w:val="000000"/>
              </w:rPr>
            </w:pPr>
            <w:r w:rsidRPr="00EA2F26">
              <w:rPr>
                <w:rFonts w:cs="Calibri"/>
                <w:color w:val="000000"/>
              </w:rPr>
              <w:t xml:space="preserve">The Regulations call up the Building Code of Australia (BCA) as a technical reference that must be complied with. </w:t>
            </w:r>
          </w:p>
        </w:tc>
      </w:tr>
      <w:tr w:rsidR="00D02973" w:rsidRPr="00EA2F26" w:rsidTr="00DF2FAC">
        <w:trPr>
          <w:trHeight w:val="379"/>
        </w:trPr>
        <w:tc>
          <w:tcPr>
            <w:tcW w:w="4593" w:type="dxa"/>
            <w:tcBorders>
              <w:top w:val="single" w:sz="4" w:space="0" w:color="auto"/>
              <w:left w:val="single" w:sz="4" w:space="0" w:color="auto"/>
              <w:bottom w:val="single" w:sz="4" w:space="0" w:color="auto"/>
              <w:right w:val="single" w:sz="4" w:space="0" w:color="auto"/>
            </w:tcBorders>
          </w:tcPr>
          <w:p w:rsidR="00D02973" w:rsidRPr="00EA2F26" w:rsidRDefault="00D02973" w:rsidP="00DF2FAC">
            <w:pPr>
              <w:autoSpaceDE w:val="0"/>
              <w:autoSpaceDN w:val="0"/>
              <w:adjustRightInd w:val="0"/>
              <w:rPr>
                <w:rFonts w:cs="Calibri"/>
                <w:color w:val="000000"/>
              </w:rPr>
            </w:pPr>
            <w:r w:rsidRPr="00EA2F26">
              <w:rPr>
                <w:rFonts w:cs="Calibri"/>
                <w:bCs/>
                <w:color w:val="000000"/>
              </w:rPr>
              <w:t xml:space="preserve">Heritage Act 1995 </w:t>
            </w:r>
          </w:p>
        </w:tc>
        <w:tc>
          <w:tcPr>
            <w:tcW w:w="4814" w:type="dxa"/>
            <w:tcBorders>
              <w:top w:val="single" w:sz="4" w:space="0" w:color="auto"/>
              <w:left w:val="single" w:sz="4" w:space="0" w:color="auto"/>
              <w:bottom w:val="single" w:sz="4" w:space="0" w:color="auto"/>
              <w:right w:val="single" w:sz="4" w:space="0" w:color="auto"/>
            </w:tcBorders>
          </w:tcPr>
          <w:p w:rsidR="00D02973" w:rsidRPr="00EA2F26" w:rsidRDefault="00D02973" w:rsidP="00DF2FAC">
            <w:pPr>
              <w:autoSpaceDE w:val="0"/>
              <w:autoSpaceDN w:val="0"/>
              <w:adjustRightInd w:val="0"/>
              <w:rPr>
                <w:rFonts w:cs="Calibri"/>
                <w:color w:val="000000"/>
              </w:rPr>
            </w:pPr>
            <w:r w:rsidRPr="00EA2F26">
              <w:rPr>
                <w:rFonts w:cs="Calibri"/>
                <w:color w:val="000000"/>
              </w:rPr>
              <w:t xml:space="preserve">Provides for the protection and conservation of places and objects of cultural heritage significance and the registration of such places and objects. </w:t>
            </w:r>
          </w:p>
        </w:tc>
      </w:tr>
      <w:tr w:rsidR="00D02973" w:rsidRPr="00EA2F26" w:rsidTr="00DF2FAC">
        <w:trPr>
          <w:trHeight w:val="377"/>
        </w:trPr>
        <w:tc>
          <w:tcPr>
            <w:tcW w:w="4593" w:type="dxa"/>
            <w:tcBorders>
              <w:top w:val="single" w:sz="4" w:space="0" w:color="auto"/>
              <w:left w:val="single" w:sz="4" w:space="0" w:color="auto"/>
              <w:bottom w:val="single" w:sz="4" w:space="0" w:color="auto"/>
              <w:right w:val="single" w:sz="4" w:space="0" w:color="auto"/>
            </w:tcBorders>
          </w:tcPr>
          <w:p w:rsidR="00D02973" w:rsidRPr="00EA2F26" w:rsidRDefault="00D02973" w:rsidP="00DF2FAC">
            <w:pPr>
              <w:autoSpaceDE w:val="0"/>
              <w:autoSpaceDN w:val="0"/>
              <w:adjustRightInd w:val="0"/>
              <w:rPr>
                <w:rFonts w:cs="Calibri"/>
                <w:color w:val="000000"/>
              </w:rPr>
            </w:pPr>
            <w:r w:rsidRPr="00EA2F26">
              <w:rPr>
                <w:rFonts w:cs="Calibri"/>
                <w:bCs/>
                <w:color w:val="000000"/>
              </w:rPr>
              <w:t xml:space="preserve">Planning and Environment Act 1987 </w:t>
            </w:r>
          </w:p>
        </w:tc>
        <w:tc>
          <w:tcPr>
            <w:tcW w:w="4814" w:type="dxa"/>
            <w:tcBorders>
              <w:top w:val="single" w:sz="4" w:space="0" w:color="auto"/>
              <w:left w:val="single" w:sz="4" w:space="0" w:color="auto"/>
              <w:bottom w:val="single" w:sz="4" w:space="0" w:color="auto"/>
              <w:right w:val="single" w:sz="4" w:space="0" w:color="auto"/>
            </w:tcBorders>
          </w:tcPr>
          <w:p w:rsidR="00D02973" w:rsidRPr="00EA2F26" w:rsidRDefault="00D02973" w:rsidP="00DF2FAC">
            <w:pPr>
              <w:autoSpaceDE w:val="0"/>
              <w:autoSpaceDN w:val="0"/>
              <w:adjustRightInd w:val="0"/>
              <w:rPr>
                <w:rFonts w:cs="Calibri"/>
                <w:color w:val="000000"/>
              </w:rPr>
            </w:pPr>
            <w:r w:rsidRPr="00EA2F26">
              <w:rPr>
                <w:rFonts w:cs="Calibri"/>
                <w:color w:val="000000"/>
              </w:rPr>
              <w:t xml:space="preserve">The purpose of this Act is to establish a framework for planning the use, development and protection of land in Victoria in the present and long-term interests of all Victorians. </w:t>
            </w:r>
          </w:p>
        </w:tc>
      </w:tr>
      <w:tr w:rsidR="00D02973" w:rsidRPr="00EA2F26" w:rsidTr="00DF2FAC">
        <w:trPr>
          <w:trHeight w:val="243"/>
        </w:trPr>
        <w:tc>
          <w:tcPr>
            <w:tcW w:w="4593" w:type="dxa"/>
            <w:tcBorders>
              <w:top w:val="single" w:sz="4" w:space="0" w:color="auto"/>
              <w:left w:val="single" w:sz="4" w:space="0" w:color="auto"/>
              <w:bottom w:val="single" w:sz="4" w:space="0" w:color="auto"/>
              <w:right w:val="single" w:sz="4" w:space="0" w:color="auto"/>
            </w:tcBorders>
          </w:tcPr>
          <w:p w:rsidR="00D02973" w:rsidRPr="00EA2F26" w:rsidRDefault="00D02973" w:rsidP="00DF2FAC">
            <w:pPr>
              <w:autoSpaceDE w:val="0"/>
              <w:autoSpaceDN w:val="0"/>
              <w:adjustRightInd w:val="0"/>
              <w:rPr>
                <w:rFonts w:cs="Calibri"/>
                <w:color w:val="000000"/>
              </w:rPr>
            </w:pPr>
            <w:r>
              <w:rPr>
                <w:rFonts w:cs="Calibri"/>
                <w:bCs/>
                <w:color w:val="000000"/>
              </w:rPr>
              <w:t>Council</w:t>
            </w:r>
            <w:r w:rsidRPr="00EA2F26">
              <w:rPr>
                <w:rFonts w:cs="Calibri"/>
                <w:bCs/>
                <w:color w:val="000000"/>
              </w:rPr>
              <w:t xml:space="preserve"> Planning Scheme </w:t>
            </w:r>
          </w:p>
        </w:tc>
        <w:tc>
          <w:tcPr>
            <w:tcW w:w="4814" w:type="dxa"/>
            <w:tcBorders>
              <w:top w:val="single" w:sz="4" w:space="0" w:color="auto"/>
              <w:left w:val="single" w:sz="4" w:space="0" w:color="auto"/>
              <w:bottom w:val="single" w:sz="4" w:space="0" w:color="auto"/>
              <w:right w:val="single" w:sz="4" w:space="0" w:color="auto"/>
            </w:tcBorders>
          </w:tcPr>
          <w:p w:rsidR="00D02973" w:rsidRPr="00EA2F26" w:rsidRDefault="00D02973" w:rsidP="00DF2FAC">
            <w:pPr>
              <w:autoSpaceDE w:val="0"/>
              <w:autoSpaceDN w:val="0"/>
              <w:adjustRightInd w:val="0"/>
              <w:rPr>
                <w:rFonts w:cs="Calibri"/>
                <w:color w:val="000000"/>
              </w:rPr>
            </w:pPr>
            <w:r w:rsidRPr="00EA2F26">
              <w:rPr>
                <w:rFonts w:cs="Calibri"/>
                <w:color w:val="000000"/>
              </w:rPr>
              <w:t xml:space="preserve">Planning matters as they relate to the siting and use of open space </w:t>
            </w:r>
          </w:p>
        </w:tc>
      </w:tr>
      <w:tr w:rsidR="00D02973" w:rsidRPr="00EA2F26" w:rsidTr="00DF2FAC">
        <w:trPr>
          <w:trHeight w:val="243"/>
        </w:trPr>
        <w:tc>
          <w:tcPr>
            <w:tcW w:w="4593" w:type="dxa"/>
            <w:tcBorders>
              <w:top w:val="single" w:sz="4" w:space="0" w:color="auto"/>
              <w:left w:val="single" w:sz="4" w:space="0" w:color="auto"/>
              <w:bottom w:val="single" w:sz="4" w:space="0" w:color="auto"/>
              <w:right w:val="single" w:sz="4" w:space="0" w:color="auto"/>
            </w:tcBorders>
          </w:tcPr>
          <w:p w:rsidR="00D02973" w:rsidRPr="00EA2F26" w:rsidRDefault="00D02973" w:rsidP="00DF2FAC">
            <w:pPr>
              <w:autoSpaceDE w:val="0"/>
              <w:autoSpaceDN w:val="0"/>
              <w:adjustRightInd w:val="0"/>
              <w:rPr>
                <w:rFonts w:cs="Calibri"/>
                <w:color w:val="000000"/>
              </w:rPr>
            </w:pPr>
            <w:r w:rsidRPr="00EA2F26">
              <w:rPr>
                <w:rFonts w:cs="Calibri"/>
                <w:bCs/>
                <w:color w:val="000000"/>
              </w:rPr>
              <w:lastRenderedPageBreak/>
              <w:t xml:space="preserve">Building Code of Australia (BCA) </w:t>
            </w:r>
          </w:p>
        </w:tc>
        <w:tc>
          <w:tcPr>
            <w:tcW w:w="4814" w:type="dxa"/>
            <w:tcBorders>
              <w:top w:val="single" w:sz="4" w:space="0" w:color="auto"/>
              <w:left w:val="single" w:sz="4" w:space="0" w:color="auto"/>
              <w:bottom w:val="single" w:sz="4" w:space="0" w:color="auto"/>
              <w:right w:val="single" w:sz="4" w:space="0" w:color="auto"/>
            </w:tcBorders>
          </w:tcPr>
          <w:p w:rsidR="00D02973" w:rsidRPr="00EA2F26" w:rsidRDefault="00D02973" w:rsidP="00DF2FAC">
            <w:pPr>
              <w:autoSpaceDE w:val="0"/>
              <w:autoSpaceDN w:val="0"/>
              <w:adjustRightInd w:val="0"/>
              <w:rPr>
                <w:rFonts w:cs="Calibri"/>
                <w:color w:val="000000"/>
              </w:rPr>
            </w:pPr>
            <w:r w:rsidRPr="00EA2F26">
              <w:rPr>
                <w:rFonts w:cs="Calibri"/>
                <w:color w:val="000000"/>
              </w:rPr>
              <w:t xml:space="preserve">Is a uniform set of technical provisions for the design and construction of buildings and other structures. </w:t>
            </w:r>
          </w:p>
        </w:tc>
      </w:tr>
      <w:tr w:rsidR="00D02973" w:rsidRPr="00EA2F26" w:rsidTr="00DF2FAC">
        <w:trPr>
          <w:trHeight w:val="281"/>
        </w:trPr>
        <w:tc>
          <w:tcPr>
            <w:tcW w:w="4593" w:type="dxa"/>
            <w:tcBorders>
              <w:top w:val="single" w:sz="4" w:space="0" w:color="auto"/>
              <w:left w:val="single" w:sz="4" w:space="0" w:color="auto"/>
              <w:bottom w:val="single" w:sz="4" w:space="0" w:color="auto"/>
              <w:right w:val="single" w:sz="4" w:space="0" w:color="auto"/>
            </w:tcBorders>
          </w:tcPr>
          <w:p w:rsidR="00D02973" w:rsidRPr="00EA2F26" w:rsidRDefault="00D02973" w:rsidP="00DF2FAC">
            <w:pPr>
              <w:autoSpaceDE w:val="0"/>
              <w:autoSpaceDN w:val="0"/>
              <w:adjustRightInd w:val="0"/>
              <w:rPr>
                <w:rFonts w:cs="Calibri"/>
                <w:color w:val="000000"/>
              </w:rPr>
            </w:pPr>
            <w:r w:rsidRPr="00EA2F26">
              <w:rPr>
                <w:rFonts w:cs="Calibri"/>
                <w:bCs/>
                <w:color w:val="000000"/>
              </w:rPr>
              <w:t xml:space="preserve">All other relevant Australian Standards </w:t>
            </w:r>
          </w:p>
        </w:tc>
        <w:tc>
          <w:tcPr>
            <w:tcW w:w="4814" w:type="dxa"/>
            <w:tcBorders>
              <w:top w:val="single" w:sz="4" w:space="0" w:color="auto"/>
              <w:left w:val="single" w:sz="4" w:space="0" w:color="auto"/>
              <w:bottom w:val="single" w:sz="4" w:space="0" w:color="auto"/>
              <w:right w:val="single" w:sz="4" w:space="0" w:color="auto"/>
            </w:tcBorders>
          </w:tcPr>
          <w:p w:rsidR="00D02973" w:rsidRPr="00EA2F26" w:rsidRDefault="00D02973" w:rsidP="00DF2FAC">
            <w:pPr>
              <w:autoSpaceDE w:val="0"/>
              <w:autoSpaceDN w:val="0"/>
              <w:adjustRightInd w:val="0"/>
              <w:rPr>
                <w:rFonts w:cs="Calibri"/>
                <w:color w:val="000000"/>
              </w:rPr>
            </w:pPr>
            <w:r w:rsidRPr="00EA2F26">
              <w:rPr>
                <w:rFonts w:cs="Calibri"/>
                <w:color w:val="000000"/>
              </w:rPr>
              <w:t xml:space="preserve">AS/NZ Standards such as Risk Management Standard. </w:t>
            </w:r>
          </w:p>
        </w:tc>
      </w:tr>
      <w:tr w:rsidR="00D02973" w:rsidRPr="00EA2F26" w:rsidTr="00DF2FAC">
        <w:trPr>
          <w:trHeight w:val="280"/>
        </w:trPr>
        <w:tc>
          <w:tcPr>
            <w:tcW w:w="4593" w:type="dxa"/>
            <w:tcBorders>
              <w:top w:val="single" w:sz="4" w:space="0" w:color="auto"/>
              <w:left w:val="single" w:sz="4" w:space="0" w:color="auto"/>
              <w:bottom w:val="single" w:sz="4" w:space="0" w:color="auto"/>
              <w:right w:val="single" w:sz="4" w:space="0" w:color="auto"/>
            </w:tcBorders>
          </w:tcPr>
          <w:p w:rsidR="00D02973" w:rsidRPr="00EA2F26" w:rsidRDefault="00D02973" w:rsidP="00DF2FAC">
            <w:pPr>
              <w:autoSpaceDE w:val="0"/>
              <w:autoSpaceDN w:val="0"/>
              <w:adjustRightInd w:val="0"/>
              <w:rPr>
                <w:rFonts w:cs="Calibri"/>
                <w:color w:val="000000"/>
              </w:rPr>
            </w:pPr>
            <w:r w:rsidRPr="00EA2F26">
              <w:rPr>
                <w:rFonts w:cs="Calibri"/>
                <w:bCs/>
                <w:color w:val="000000"/>
              </w:rPr>
              <w:t xml:space="preserve">Occupational Health and Safety Regulations </w:t>
            </w:r>
          </w:p>
        </w:tc>
        <w:tc>
          <w:tcPr>
            <w:tcW w:w="4814" w:type="dxa"/>
            <w:tcBorders>
              <w:top w:val="single" w:sz="4" w:space="0" w:color="auto"/>
              <w:left w:val="single" w:sz="4" w:space="0" w:color="auto"/>
              <w:bottom w:val="single" w:sz="4" w:space="0" w:color="auto"/>
              <w:right w:val="single" w:sz="4" w:space="0" w:color="auto"/>
            </w:tcBorders>
          </w:tcPr>
          <w:p w:rsidR="00D02973" w:rsidRPr="00EA2F26" w:rsidRDefault="00D02973" w:rsidP="00DF2FAC">
            <w:pPr>
              <w:autoSpaceDE w:val="0"/>
              <w:autoSpaceDN w:val="0"/>
              <w:adjustRightInd w:val="0"/>
              <w:rPr>
                <w:rFonts w:cs="Calibri"/>
                <w:color w:val="000000"/>
              </w:rPr>
            </w:pPr>
            <w:r w:rsidRPr="00EA2F26">
              <w:rPr>
                <w:rFonts w:cs="Calibri"/>
                <w:color w:val="000000"/>
              </w:rPr>
              <w:t xml:space="preserve">Includes Asbestos 2003; Manual Handling 1999; Noise 2004; Prevention of Falls 2003; and Lead 2000. </w:t>
            </w:r>
          </w:p>
        </w:tc>
      </w:tr>
      <w:tr w:rsidR="00D02973" w:rsidRPr="00EA2F26" w:rsidTr="00DF2FAC">
        <w:trPr>
          <w:trHeight w:val="280"/>
        </w:trPr>
        <w:tc>
          <w:tcPr>
            <w:tcW w:w="4593" w:type="dxa"/>
            <w:tcBorders>
              <w:top w:val="single" w:sz="4" w:space="0" w:color="auto"/>
              <w:left w:val="single" w:sz="4" w:space="0" w:color="auto"/>
              <w:bottom w:val="single" w:sz="4" w:space="0" w:color="auto"/>
              <w:right w:val="single" w:sz="4" w:space="0" w:color="auto"/>
            </w:tcBorders>
          </w:tcPr>
          <w:p w:rsidR="00D02973" w:rsidRPr="00EA2F26" w:rsidRDefault="00D02973" w:rsidP="00DF2FAC">
            <w:pPr>
              <w:autoSpaceDE w:val="0"/>
              <w:autoSpaceDN w:val="0"/>
              <w:adjustRightInd w:val="0"/>
              <w:rPr>
                <w:rFonts w:cs="Calibri"/>
                <w:color w:val="000000"/>
              </w:rPr>
            </w:pPr>
            <w:r w:rsidRPr="00EA2F26">
              <w:rPr>
                <w:rFonts w:cs="Calibri"/>
                <w:bCs/>
                <w:color w:val="000000"/>
              </w:rPr>
              <w:t xml:space="preserve">All other relevant State and federal Acts and Regulations </w:t>
            </w:r>
          </w:p>
        </w:tc>
        <w:tc>
          <w:tcPr>
            <w:tcW w:w="4814" w:type="dxa"/>
            <w:tcBorders>
              <w:top w:val="single" w:sz="4" w:space="0" w:color="auto"/>
              <w:left w:val="single" w:sz="4" w:space="0" w:color="auto"/>
              <w:bottom w:val="single" w:sz="4" w:space="0" w:color="auto"/>
              <w:right w:val="single" w:sz="4" w:space="0" w:color="auto"/>
            </w:tcBorders>
          </w:tcPr>
          <w:p w:rsidR="00D02973" w:rsidRPr="00EA2F26" w:rsidRDefault="00D02973" w:rsidP="00DF2FAC">
            <w:pPr>
              <w:autoSpaceDE w:val="0"/>
              <w:autoSpaceDN w:val="0"/>
              <w:adjustRightInd w:val="0"/>
              <w:rPr>
                <w:rFonts w:cs="Calibri"/>
                <w:color w:val="000000"/>
              </w:rPr>
            </w:pPr>
            <w:r w:rsidRPr="00EA2F26">
              <w:rPr>
                <w:rFonts w:cs="Calibri"/>
                <w:color w:val="000000"/>
              </w:rPr>
              <w:t xml:space="preserve">Where applicable, including Disability Discrimination Act (1992) </w:t>
            </w:r>
          </w:p>
        </w:tc>
      </w:tr>
      <w:tr w:rsidR="00D02973" w:rsidRPr="00EA2F26" w:rsidTr="00DF2FAC">
        <w:trPr>
          <w:trHeight w:val="280"/>
        </w:trPr>
        <w:tc>
          <w:tcPr>
            <w:tcW w:w="4593" w:type="dxa"/>
            <w:tcBorders>
              <w:top w:val="single" w:sz="4" w:space="0" w:color="auto"/>
              <w:left w:val="single" w:sz="4" w:space="0" w:color="auto"/>
              <w:bottom w:val="single" w:sz="4" w:space="0" w:color="auto"/>
              <w:right w:val="single" w:sz="4" w:space="0" w:color="auto"/>
            </w:tcBorders>
          </w:tcPr>
          <w:p w:rsidR="00D02973" w:rsidRPr="00EA2F26" w:rsidRDefault="00D02973" w:rsidP="00DF2FAC">
            <w:pPr>
              <w:autoSpaceDE w:val="0"/>
              <w:autoSpaceDN w:val="0"/>
              <w:adjustRightInd w:val="0"/>
              <w:rPr>
                <w:rFonts w:cs="Calibri"/>
                <w:color w:val="000000"/>
              </w:rPr>
            </w:pPr>
            <w:r w:rsidRPr="00EA2F26">
              <w:rPr>
                <w:rFonts w:cs="Calibri"/>
                <w:bCs/>
                <w:color w:val="000000"/>
              </w:rPr>
              <w:t xml:space="preserve">All Local Laws and relevant policies of the Organisation </w:t>
            </w:r>
          </w:p>
        </w:tc>
        <w:tc>
          <w:tcPr>
            <w:tcW w:w="4814" w:type="dxa"/>
            <w:tcBorders>
              <w:top w:val="single" w:sz="4" w:space="0" w:color="auto"/>
              <w:left w:val="single" w:sz="4" w:space="0" w:color="auto"/>
              <w:bottom w:val="single" w:sz="4" w:space="0" w:color="auto"/>
              <w:right w:val="single" w:sz="4" w:space="0" w:color="auto"/>
            </w:tcBorders>
          </w:tcPr>
          <w:p w:rsidR="00D02973" w:rsidRPr="00EA2F26" w:rsidRDefault="00D02973" w:rsidP="00DF2FAC">
            <w:pPr>
              <w:autoSpaceDE w:val="0"/>
              <w:autoSpaceDN w:val="0"/>
              <w:adjustRightInd w:val="0"/>
              <w:rPr>
                <w:rFonts w:cs="Calibri"/>
                <w:color w:val="000000"/>
              </w:rPr>
            </w:pPr>
            <w:r w:rsidRPr="00EA2F26">
              <w:rPr>
                <w:rFonts w:cs="Calibri"/>
                <w:color w:val="000000"/>
              </w:rPr>
              <w:t xml:space="preserve">Construction standards, Maintenance contracts, etc. </w:t>
            </w:r>
          </w:p>
        </w:tc>
      </w:tr>
    </w:tbl>
    <w:p w:rsidR="00D02973" w:rsidRPr="00EA2F26" w:rsidRDefault="00D02973" w:rsidP="00D02973"/>
    <w:p w:rsidR="00D02973" w:rsidRPr="00DF2FAC" w:rsidRDefault="00D02973" w:rsidP="00D02973">
      <w:pPr>
        <w:pStyle w:val="Heading2"/>
        <w:spacing w:after="200"/>
        <w:rPr>
          <w:rFonts w:asciiTheme="minorHAnsi" w:hAnsiTheme="minorHAnsi"/>
          <w:color w:val="2E74B5" w:themeColor="accent1" w:themeShade="BF"/>
        </w:rPr>
      </w:pPr>
      <w:bookmarkStart w:id="9" w:name="_Toc448475166"/>
      <w:r w:rsidRPr="00DF2FAC">
        <w:rPr>
          <w:rFonts w:asciiTheme="minorHAnsi" w:hAnsiTheme="minorHAnsi"/>
          <w:color w:val="2E74B5" w:themeColor="accent1" w:themeShade="BF"/>
        </w:rPr>
        <w:t>1.6</w:t>
      </w:r>
      <w:r w:rsidRPr="00DF2FAC">
        <w:rPr>
          <w:rFonts w:asciiTheme="minorHAnsi" w:hAnsiTheme="minorHAnsi"/>
          <w:color w:val="2E74B5" w:themeColor="accent1" w:themeShade="BF"/>
        </w:rPr>
        <w:tab/>
        <w:t>Key issues with Asset Based Recreation and Open Space Services</w:t>
      </w:r>
      <w:bookmarkEnd w:id="9"/>
    </w:p>
    <w:p w:rsidR="00D02973" w:rsidRPr="00EA2F26" w:rsidRDefault="00D02973" w:rsidP="00D02973">
      <w:r w:rsidRPr="00EA2F26">
        <w:t>Issues with asset based recreation and open space services are discussed in detail in Section 3. Several of the key issues are as follows:</w:t>
      </w:r>
    </w:p>
    <w:p w:rsidR="00D02973" w:rsidRPr="00EA2F26" w:rsidRDefault="00D02973" w:rsidP="00D02973">
      <w:pPr>
        <w:pStyle w:val="ListParagraph"/>
        <w:numPr>
          <w:ilvl w:val="0"/>
          <w:numId w:val="30"/>
        </w:numPr>
      </w:pPr>
      <w:r w:rsidRPr="00EA2F26">
        <w:rPr>
          <w:b/>
        </w:rPr>
        <w:t>Foreshore management</w:t>
      </w:r>
      <w:r w:rsidRPr="00EA2F26">
        <w:t xml:space="preserve">: There is conflict between the provision of foreshore access consistent with </w:t>
      </w:r>
      <w:r>
        <w:t>Council</w:t>
      </w:r>
      <w:r w:rsidRPr="00EA2F26">
        <w:t xml:space="preserve"> standards (i.e. sealing car parks, providing stairway access to beaches) and satisfying the expectations of local stakeholders who are concerned about aesthetic and environmental issues. Some of the key foreshore management issues are:</w:t>
      </w:r>
    </w:p>
    <w:p w:rsidR="00D02973" w:rsidRPr="00EA2F26" w:rsidRDefault="00D02973" w:rsidP="00D02973">
      <w:pPr>
        <w:pStyle w:val="ListParagraph"/>
        <w:numPr>
          <w:ilvl w:val="1"/>
          <w:numId w:val="30"/>
        </w:numPr>
        <w:spacing w:before="240"/>
      </w:pPr>
      <w:r w:rsidRPr="00EA2F26">
        <w:t>The impact of climate change on the foreshore, specifically impact of increased frequency and intensity of storms on sea walls, revetment wall and the erosion of cliff faces.</w:t>
      </w:r>
    </w:p>
    <w:p w:rsidR="00D02973" w:rsidRPr="00EA2F26" w:rsidRDefault="00D02973" w:rsidP="00D02973">
      <w:pPr>
        <w:pStyle w:val="ListParagraph"/>
        <w:numPr>
          <w:ilvl w:val="1"/>
          <w:numId w:val="30"/>
        </w:numPr>
      </w:pPr>
      <w:r w:rsidRPr="00EA2F26">
        <w:t xml:space="preserve">Increasing number of stakeholders using assets around the foreshore area. This may have an impact on the life of the asset and maintenance requirements (i.e. passive turf).   </w:t>
      </w:r>
    </w:p>
    <w:p w:rsidR="00D02973" w:rsidRPr="00EA2F26" w:rsidRDefault="00D02973" w:rsidP="00D02973">
      <w:pPr>
        <w:pStyle w:val="ListParagraph"/>
        <w:numPr>
          <w:ilvl w:val="1"/>
          <w:numId w:val="30"/>
        </w:numPr>
      </w:pPr>
      <w:r w:rsidRPr="00EA2F26">
        <w:t>Issues of access to the foreshore areas (compliance of existing facilities such as stairways which provide access to the foreshore areas).</w:t>
      </w:r>
    </w:p>
    <w:p w:rsidR="00D02973" w:rsidRPr="00EA2F26" w:rsidRDefault="00D02973" w:rsidP="00D02973">
      <w:pPr>
        <w:pStyle w:val="ListParagraph"/>
        <w:numPr>
          <w:ilvl w:val="0"/>
          <w:numId w:val="30"/>
        </w:numPr>
        <w:spacing w:before="240"/>
      </w:pPr>
      <w:r w:rsidRPr="00EA2F26">
        <w:rPr>
          <w:b/>
        </w:rPr>
        <w:t>Multi-use of facilities:</w:t>
      </w:r>
      <w:r w:rsidRPr="00EA2F26">
        <w:t xml:space="preserve">  Conflicts with users of facilities continues to be an issue. One specific example is dog owners who may allow dogs to roam off leash on facilities while programmed sports activities are taking place. Since the 2013 AMP</w:t>
      </w:r>
      <w:r>
        <w:t>,</w:t>
      </w:r>
      <w:r w:rsidRPr="00EA2F26">
        <w:t xml:space="preserve"> </w:t>
      </w:r>
      <w:r>
        <w:t>Council</w:t>
      </w:r>
      <w:r w:rsidRPr="00EA2F26">
        <w:t xml:space="preserve"> has </w:t>
      </w:r>
      <w:r>
        <w:t>attempted</w:t>
      </w:r>
      <w:r w:rsidRPr="00EA2F26">
        <w:t> to understand who</w:t>
      </w:r>
      <w:r>
        <w:t xml:space="preserve"> / which user groups are using open s</w:t>
      </w:r>
      <w:r w:rsidRPr="00EA2F26">
        <w:t xml:space="preserve">paces </w:t>
      </w:r>
      <w:r>
        <w:t>to manage</w:t>
      </w:r>
      <w:r w:rsidRPr="00EA2F26">
        <w:t xml:space="preserve"> this use. The Bayside Community Summit (2012) greatly assisted </w:t>
      </w:r>
      <w:r>
        <w:t>Council’</w:t>
      </w:r>
      <w:r w:rsidRPr="00EA2F26">
        <w:t>s understanding</w:t>
      </w:r>
      <w:r>
        <w:t xml:space="preserve"> in this matter</w:t>
      </w:r>
      <w:r w:rsidRPr="00EA2F26">
        <w:t xml:space="preserve">.  Personal trainers are one user group who are now better managed through </w:t>
      </w:r>
      <w:r>
        <w:t>Council</w:t>
      </w:r>
      <w:r w:rsidRPr="00EA2F26">
        <w:t xml:space="preserve"> policy and procedures. Dog owners continue to be a challenge. </w:t>
      </w:r>
    </w:p>
    <w:p w:rsidR="00D02973" w:rsidRDefault="00D02973" w:rsidP="00D02973">
      <w:pPr>
        <w:pStyle w:val="ListParagraph"/>
        <w:numPr>
          <w:ilvl w:val="0"/>
          <w:numId w:val="30"/>
        </w:numPr>
        <w:spacing w:before="240" w:after="0"/>
        <w:contextualSpacing w:val="0"/>
      </w:pPr>
      <w:r w:rsidRPr="008E2441">
        <w:rPr>
          <w:b/>
        </w:rPr>
        <w:t xml:space="preserve">Financial Constraints: </w:t>
      </w:r>
      <w:r w:rsidRPr="00EA2F26">
        <w:t xml:space="preserve">a period of budgetary austerity due to rate capping will limit </w:t>
      </w:r>
      <w:r>
        <w:t>Council</w:t>
      </w:r>
      <w:r w:rsidRPr="00EA2F26">
        <w:t>’s capacity to provide resources to support new and upgraded facilities.</w:t>
      </w:r>
    </w:p>
    <w:p w:rsidR="00D02973" w:rsidRPr="00EA2F26" w:rsidRDefault="00D02973" w:rsidP="00D02973">
      <w:pPr>
        <w:pStyle w:val="ListParagraph"/>
        <w:numPr>
          <w:ilvl w:val="0"/>
          <w:numId w:val="30"/>
        </w:numPr>
        <w:spacing w:after="0"/>
        <w:contextualSpacing w:val="0"/>
      </w:pPr>
      <w:r w:rsidRPr="008E2441">
        <w:rPr>
          <w:b/>
        </w:rPr>
        <w:lastRenderedPageBreak/>
        <w:t>Maintenance / renewal obligations of leaseholders</w:t>
      </w:r>
      <w:r w:rsidRPr="00EA2F26">
        <w:t xml:space="preserve">. Clarifying these obligations is an ongoing challenge. The lack of clarity around obligations limits </w:t>
      </w:r>
      <w:r>
        <w:t>Council’</w:t>
      </w:r>
      <w:r w:rsidRPr="00EA2F26">
        <w:t xml:space="preserve">s ability to identify and program works and seek grant funding. </w:t>
      </w:r>
      <w:r>
        <w:t>Council</w:t>
      </w:r>
      <w:r w:rsidRPr="00EA2F26">
        <w:t xml:space="preserve"> is addressing this challenge though development of the Strategic Service </w:t>
      </w:r>
      <w:r>
        <w:t>Reviews;</w:t>
      </w:r>
      <w:r w:rsidRPr="00EA2F26">
        <w:t xml:space="preserve"> for example the </w:t>
      </w:r>
      <w:r>
        <w:t>Tennis Strategy</w:t>
      </w:r>
      <w:r w:rsidRPr="00EA2F26">
        <w:t xml:space="preserve"> which </w:t>
      </w:r>
      <w:r>
        <w:t xml:space="preserve">is considered to be a </w:t>
      </w:r>
      <w:r w:rsidRPr="00EA2F26">
        <w:t xml:space="preserve">test case for clarification of the maintenance / renewal obligations with leaseholders. </w:t>
      </w:r>
    </w:p>
    <w:p w:rsidR="00D02973" w:rsidRPr="00EA2F26" w:rsidRDefault="00D02973" w:rsidP="00D02973">
      <w:pPr>
        <w:pStyle w:val="ListParagraph"/>
        <w:numPr>
          <w:ilvl w:val="0"/>
          <w:numId w:val="30"/>
        </w:numPr>
      </w:pPr>
      <w:r w:rsidRPr="00EA2F26">
        <w:rPr>
          <w:b/>
        </w:rPr>
        <w:t>Legislative changes</w:t>
      </w:r>
      <w:r w:rsidRPr="00EA2F26">
        <w:t xml:space="preserve">: </w:t>
      </w:r>
      <w:r>
        <w:t>Council</w:t>
      </w:r>
      <w:r w:rsidRPr="00EA2F26">
        <w:t xml:space="preserve"> is operating in an environment of ever more demanding regulatory requirements. Some examples are:</w:t>
      </w:r>
    </w:p>
    <w:p w:rsidR="00D02973" w:rsidRPr="00EA2F26" w:rsidRDefault="00D02973" w:rsidP="00D02973">
      <w:pPr>
        <w:pStyle w:val="ListParagraph"/>
        <w:numPr>
          <w:ilvl w:val="1"/>
          <w:numId w:val="30"/>
        </w:numPr>
      </w:pPr>
      <w:r w:rsidRPr="00EA2F26">
        <w:t xml:space="preserve"> DDA compliance:  As a </w:t>
      </w:r>
      <w:r>
        <w:t>Council</w:t>
      </w:r>
      <w:r w:rsidRPr="00EA2F26">
        <w:t xml:space="preserve"> with a significant aging population compliance with DDA is an ongoing challenge.  As mentioned DDA has presented a challenge in </w:t>
      </w:r>
      <w:r>
        <w:t>Council’s</w:t>
      </w:r>
      <w:r w:rsidRPr="00EA2F26">
        <w:t xml:space="preserve"> management of foreshore areas, specifically access to the beach. DDA consideration were central to the development of the Dendy and Hurlingham Park Master Plans. One key issue is connectivity between the facility and the car park, and also ensuring car parks themselves are DDA compliant.  </w:t>
      </w:r>
    </w:p>
    <w:p w:rsidR="00D02973" w:rsidRPr="00EA2F26" w:rsidRDefault="00D02973" w:rsidP="00D02973">
      <w:pPr>
        <w:pStyle w:val="ListParagraph"/>
        <w:numPr>
          <w:ilvl w:val="1"/>
          <w:numId w:val="30"/>
        </w:numPr>
      </w:pPr>
      <w:r w:rsidRPr="00EA2F26">
        <w:t>Tree Management: There has been continual tightening of requirements for pruning trees around power lines (Offset distance between tree and live wire continually reduced). Electricity Safety (Electric Line Clearance) Regulations (2015)</w:t>
      </w:r>
    </w:p>
    <w:p w:rsidR="00D02973" w:rsidRPr="00EA2F26" w:rsidRDefault="00D02973" w:rsidP="00D02973">
      <w:pPr>
        <w:pStyle w:val="ListParagraph"/>
        <w:numPr>
          <w:ilvl w:val="0"/>
          <w:numId w:val="30"/>
        </w:numPr>
        <w:spacing w:before="240"/>
      </w:pPr>
      <w:r w:rsidRPr="00EA2F26">
        <w:rPr>
          <w:b/>
        </w:rPr>
        <w:t>Community risk tolerance:</w:t>
      </w:r>
      <w:r w:rsidRPr="00EA2F26">
        <w:t xml:space="preserve"> Aligned with heightening legislative requirements are social changes with respect to risk tolerance and an increased public tendency to litigation present a challenge for </w:t>
      </w:r>
      <w:r>
        <w:t>Council</w:t>
      </w:r>
      <w:r w:rsidRPr="00EA2F26">
        <w:t xml:space="preserve">. There is a requirement for increased frequency of Investigations to identify hazards. For example tree root inspection frequency has been increased from once in three years to once every two years.      </w:t>
      </w:r>
    </w:p>
    <w:p w:rsidR="00D02973" w:rsidRDefault="00D02973" w:rsidP="00D02973">
      <w:pPr>
        <w:pStyle w:val="ListParagraph"/>
        <w:numPr>
          <w:ilvl w:val="0"/>
          <w:numId w:val="30"/>
        </w:numPr>
      </w:pPr>
      <w:r w:rsidRPr="00EA2F26">
        <w:rPr>
          <w:b/>
        </w:rPr>
        <w:t>Climate Change</w:t>
      </w:r>
      <w:r w:rsidRPr="00EA2F26">
        <w:t xml:space="preserve">: Climate change raises some specific issues for </w:t>
      </w:r>
      <w:r>
        <w:t>Council’</w:t>
      </w:r>
      <w:r w:rsidRPr="00EA2F26">
        <w:t>s recreation and open spa</w:t>
      </w:r>
      <w:r>
        <w:t>ce assets. The potential impacts of rainfall, wind and light</w:t>
      </w:r>
      <w:r w:rsidRPr="00EA2F26">
        <w:t>ning events as well as increased temperature and solar radiation may dam</w:t>
      </w:r>
      <w:r>
        <w:t>age and reduce the life of asse</w:t>
      </w:r>
      <w:r w:rsidRPr="00EA2F26">
        <w:t>ts. One key climate challenge is the prolonged dry periods</w:t>
      </w:r>
      <w:r>
        <w:t xml:space="preserve"> which can reduce</w:t>
      </w:r>
      <w:r w:rsidRPr="00EA2F26">
        <w:t xml:space="preserve"> asset life and condition. </w:t>
      </w:r>
      <w:r>
        <w:t>Council</w:t>
      </w:r>
      <w:r w:rsidRPr="00EA2F26">
        <w:t xml:space="preserve"> has prepared strategies for managing assets in dry conditions</w:t>
      </w:r>
      <w:r>
        <w:t>,</w:t>
      </w:r>
      <w:r w:rsidRPr="00EA2F26">
        <w:t xml:space="preserve"> for example</w:t>
      </w:r>
      <w:r>
        <w:t>,</w:t>
      </w:r>
      <w:r w:rsidRPr="00EA2F26">
        <w:t xml:space="preserve"> seeking alternative water sources</w:t>
      </w:r>
      <w:r>
        <w:t xml:space="preserve"> such as stormwater harvesting</w:t>
      </w:r>
      <w:r w:rsidRPr="00EA2F26">
        <w:t>.</w:t>
      </w:r>
    </w:p>
    <w:p w:rsidR="00D02973" w:rsidRDefault="00D02973" w:rsidP="00D02973">
      <w:pPr>
        <w:pStyle w:val="ListParagraph"/>
        <w:numPr>
          <w:ilvl w:val="0"/>
          <w:numId w:val="30"/>
        </w:numPr>
      </w:pPr>
      <w:r w:rsidRPr="00FE0EC9">
        <w:rPr>
          <w:b/>
        </w:rPr>
        <w:t>Service Needs</w:t>
      </w:r>
      <w:r w:rsidRPr="00EA2F26">
        <w:t xml:space="preserve">: </w:t>
      </w:r>
      <w:r>
        <w:t>the long term service needs for sport and recreation need to be determined as a basis for improved asset planning and accurate future budget forecasts.</w:t>
      </w:r>
    </w:p>
    <w:p w:rsidR="00D02973" w:rsidRPr="00DF2FAC" w:rsidRDefault="00D02973" w:rsidP="00D02973">
      <w:pPr>
        <w:pStyle w:val="Heading1"/>
        <w:spacing w:after="200"/>
        <w:rPr>
          <w:rFonts w:asciiTheme="minorHAnsi" w:hAnsiTheme="minorHAnsi"/>
        </w:rPr>
      </w:pPr>
      <w:bookmarkStart w:id="10" w:name="_Toc448475167"/>
      <w:r w:rsidRPr="00DF2FAC">
        <w:rPr>
          <w:rFonts w:asciiTheme="minorHAnsi" w:hAnsiTheme="minorHAnsi"/>
        </w:rPr>
        <w:t>2.0</w:t>
      </w:r>
      <w:r w:rsidRPr="00DF2FAC">
        <w:rPr>
          <w:rFonts w:asciiTheme="minorHAnsi" w:hAnsiTheme="minorHAnsi"/>
        </w:rPr>
        <w:tab/>
        <w:t>Asset Function &amp; Levels of Service</w:t>
      </w:r>
      <w:bookmarkEnd w:id="10"/>
    </w:p>
    <w:p w:rsidR="00D02973" w:rsidRPr="00DF2FAC" w:rsidRDefault="00D02973" w:rsidP="00D02973">
      <w:pPr>
        <w:pStyle w:val="Heading2"/>
        <w:spacing w:after="200"/>
        <w:rPr>
          <w:rFonts w:asciiTheme="minorHAnsi" w:hAnsiTheme="minorHAnsi"/>
          <w:color w:val="2E74B5" w:themeColor="accent1" w:themeShade="BF"/>
        </w:rPr>
      </w:pPr>
      <w:bookmarkStart w:id="11" w:name="_Toc448475168"/>
      <w:r w:rsidRPr="00DF2FAC">
        <w:rPr>
          <w:rFonts w:asciiTheme="minorHAnsi" w:hAnsiTheme="minorHAnsi"/>
          <w:color w:val="2E74B5" w:themeColor="accent1" w:themeShade="BF"/>
        </w:rPr>
        <w:t xml:space="preserve">2.1 </w:t>
      </w:r>
      <w:r w:rsidRPr="00DF2FAC">
        <w:rPr>
          <w:rFonts w:asciiTheme="minorHAnsi" w:hAnsiTheme="minorHAnsi"/>
          <w:color w:val="2E74B5" w:themeColor="accent1" w:themeShade="BF"/>
        </w:rPr>
        <w:tab/>
        <w:t>Function of Recreation and Open Space Assets</w:t>
      </w:r>
      <w:bookmarkEnd w:id="11"/>
    </w:p>
    <w:p w:rsidR="00D02973" w:rsidRPr="00EA2F26" w:rsidRDefault="00D02973" w:rsidP="00D02973">
      <w:r>
        <w:t>Council</w:t>
      </w:r>
      <w:r w:rsidRPr="00EA2F26">
        <w:t xml:space="preserve"> owned recreation and open space assets represent a significant investment into a range of services that contribute to the liveability, health and wellbeing of the community.</w:t>
      </w:r>
    </w:p>
    <w:p w:rsidR="00D02973" w:rsidRPr="00EA2F26" w:rsidRDefault="00D02973" w:rsidP="00D02973">
      <w:r w:rsidRPr="00EA2F26">
        <w:t>According to the OSS, recreation and open space assets are categorized into nine functional classes. These are as follows:</w:t>
      </w:r>
    </w:p>
    <w:p w:rsidR="00D02973" w:rsidRPr="00EA2F26" w:rsidRDefault="00D02973" w:rsidP="00D02973">
      <w:pPr>
        <w:pStyle w:val="ListParagraph"/>
        <w:numPr>
          <w:ilvl w:val="0"/>
          <w:numId w:val="21"/>
        </w:numPr>
      </w:pPr>
      <w:r w:rsidRPr="00EA2F26">
        <w:lastRenderedPageBreak/>
        <w:t>Social family recreational parks,</w:t>
      </w:r>
    </w:p>
    <w:p w:rsidR="00D02973" w:rsidRPr="00EA2F26" w:rsidRDefault="00D02973" w:rsidP="00D02973">
      <w:pPr>
        <w:pStyle w:val="ListParagraph"/>
        <w:numPr>
          <w:ilvl w:val="0"/>
          <w:numId w:val="21"/>
        </w:numPr>
      </w:pPr>
      <w:r w:rsidRPr="00EA2F26">
        <w:t>Sports Grounds,</w:t>
      </w:r>
    </w:p>
    <w:p w:rsidR="00D02973" w:rsidRPr="00EA2F26" w:rsidRDefault="00D02973" w:rsidP="00D02973">
      <w:pPr>
        <w:pStyle w:val="ListParagraph"/>
        <w:numPr>
          <w:ilvl w:val="0"/>
          <w:numId w:val="21"/>
        </w:numPr>
      </w:pPr>
      <w:r w:rsidRPr="00EA2F26">
        <w:t>Relaxation Parks,</w:t>
      </w:r>
    </w:p>
    <w:p w:rsidR="00D02973" w:rsidRPr="00EA2F26" w:rsidRDefault="00D02973" w:rsidP="00D02973">
      <w:pPr>
        <w:pStyle w:val="ListParagraph"/>
        <w:numPr>
          <w:ilvl w:val="0"/>
          <w:numId w:val="21"/>
        </w:numPr>
      </w:pPr>
      <w:r w:rsidRPr="00EA2F26">
        <w:t>Formal Gardens,</w:t>
      </w:r>
    </w:p>
    <w:p w:rsidR="00D02973" w:rsidRPr="00EA2F26" w:rsidRDefault="00D02973" w:rsidP="00D02973">
      <w:pPr>
        <w:pStyle w:val="ListParagraph"/>
        <w:numPr>
          <w:ilvl w:val="0"/>
          <w:numId w:val="21"/>
        </w:numPr>
      </w:pPr>
      <w:r w:rsidRPr="00EA2F26">
        <w:t>Conservation Reserves,</w:t>
      </w:r>
    </w:p>
    <w:p w:rsidR="00D02973" w:rsidRPr="00EA2F26" w:rsidRDefault="00D02973" w:rsidP="00D02973">
      <w:pPr>
        <w:pStyle w:val="ListParagraph"/>
        <w:numPr>
          <w:ilvl w:val="0"/>
          <w:numId w:val="21"/>
        </w:numPr>
      </w:pPr>
      <w:r w:rsidRPr="00EA2F26">
        <w:t>Recreation Facilities,</w:t>
      </w:r>
    </w:p>
    <w:p w:rsidR="00D02973" w:rsidRPr="00EA2F26" w:rsidRDefault="00D02973" w:rsidP="00D02973">
      <w:pPr>
        <w:pStyle w:val="ListParagraph"/>
        <w:numPr>
          <w:ilvl w:val="0"/>
          <w:numId w:val="21"/>
        </w:numPr>
      </w:pPr>
      <w:r w:rsidRPr="00EA2F26">
        <w:t>Beaches,</w:t>
      </w:r>
    </w:p>
    <w:p w:rsidR="00D02973" w:rsidRPr="00EA2F26" w:rsidRDefault="00D02973" w:rsidP="00D02973">
      <w:pPr>
        <w:pStyle w:val="ListParagraph"/>
        <w:numPr>
          <w:ilvl w:val="0"/>
          <w:numId w:val="21"/>
        </w:numPr>
      </w:pPr>
      <w:r w:rsidRPr="00EA2F26">
        <w:t>Allocated School Sports Grounds, and</w:t>
      </w:r>
    </w:p>
    <w:p w:rsidR="00D02973" w:rsidRPr="00EA2F26" w:rsidRDefault="00D02973" w:rsidP="00D02973">
      <w:pPr>
        <w:pStyle w:val="ListParagraph"/>
        <w:numPr>
          <w:ilvl w:val="0"/>
          <w:numId w:val="21"/>
        </w:numPr>
      </w:pPr>
      <w:r w:rsidRPr="00EA2F26">
        <w:t>Cemeteries.</w:t>
      </w:r>
    </w:p>
    <w:p w:rsidR="00D02973" w:rsidRPr="00DF2FAC" w:rsidRDefault="00D02973" w:rsidP="00D02973">
      <w:pPr>
        <w:pStyle w:val="Heading2"/>
        <w:spacing w:after="200"/>
        <w:rPr>
          <w:rFonts w:asciiTheme="minorHAnsi" w:hAnsiTheme="minorHAnsi"/>
          <w:color w:val="2E74B5" w:themeColor="accent1" w:themeShade="BF"/>
        </w:rPr>
      </w:pPr>
      <w:bookmarkStart w:id="12" w:name="_Toc448475169"/>
      <w:r w:rsidRPr="00DF2FAC">
        <w:rPr>
          <w:rFonts w:asciiTheme="minorHAnsi" w:hAnsiTheme="minorHAnsi"/>
          <w:color w:val="2E74B5" w:themeColor="accent1" w:themeShade="BF"/>
        </w:rPr>
        <w:t xml:space="preserve">2.2 </w:t>
      </w:r>
      <w:r w:rsidRPr="00DF2FAC">
        <w:rPr>
          <w:rFonts w:asciiTheme="minorHAnsi" w:hAnsiTheme="minorHAnsi"/>
          <w:color w:val="2E74B5" w:themeColor="accent1" w:themeShade="BF"/>
        </w:rPr>
        <w:tab/>
        <w:t>Functional Hierarchy</w:t>
      </w:r>
      <w:bookmarkEnd w:id="12"/>
    </w:p>
    <w:p w:rsidR="00D02973" w:rsidRPr="00EA2F26" w:rsidRDefault="00D02973" w:rsidP="00D02973">
      <w:r w:rsidRPr="00EA2F26">
        <w:t>The various categories of recreation and open space assets provide different services to the community. Unlike other infrastructure asset groups such as the road network and stormwater drainage system</w:t>
      </w:r>
      <w:r>
        <w:t>,</w:t>
      </w:r>
      <w:r w:rsidRPr="00EA2F26">
        <w:t xml:space="preserve"> which have a singular service focus, recreation and open spac</w:t>
      </w:r>
      <w:r>
        <w:t>e assets are multi service focu</w:t>
      </w:r>
      <w:r w:rsidRPr="00EA2F26">
        <w:t xml:space="preserve">sed. </w:t>
      </w:r>
    </w:p>
    <w:p w:rsidR="00D02973" w:rsidRPr="00EA2F26" w:rsidRDefault="00D02973" w:rsidP="00D02973">
      <w:r w:rsidRPr="00EA2F26">
        <w:t>Each functional classification will have specific functional levels of service. Levels of service may vary from one subcategory to</w:t>
      </w:r>
      <w:r>
        <w:t xml:space="preserve"> the next and also within a sub-</w:t>
      </w:r>
      <w:r w:rsidRPr="00EA2F26">
        <w:t>category</w:t>
      </w:r>
      <w:r>
        <w:t>,</w:t>
      </w:r>
      <w:r w:rsidRPr="00EA2F26">
        <w:t xml:space="preserve"> depending on the priority given. In addition to the general levels of service, specific levels of service may be identified within Asset Upgrade Strategies for the various categories of recreation and open space assets. </w:t>
      </w:r>
    </w:p>
    <w:p w:rsidR="00D02973" w:rsidRPr="00EA2F26" w:rsidRDefault="00D02973" w:rsidP="00D02973">
      <w:r w:rsidRPr="00EA2F26">
        <w:t xml:space="preserve">The recreation and open space assets are also considered in terms of the functional hierarchy provided in </w:t>
      </w:r>
      <w:r>
        <w:t>Appendix 1</w:t>
      </w:r>
      <w:r w:rsidRPr="00EA2F26">
        <w:t xml:space="preserve"> and Appendix </w:t>
      </w:r>
      <w:r>
        <w:t xml:space="preserve">2. </w:t>
      </w:r>
      <w:r w:rsidRPr="00EA2F26">
        <w:t>This hierarchy is a matrix of categories and criteria used to determine the strategic importance</w:t>
      </w:r>
      <w:r>
        <w:t xml:space="preserve"> of the asset</w:t>
      </w:r>
      <w:r w:rsidRPr="00EA2F26">
        <w:t xml:space="preserve">. The horizontal axis of the matrix includes the following four criteria:  </w:t>
      </w:r>
    </w:p>
    <w:p w:rsidR="00D02973" w:rsidRPr="00EA2F26" w:rsidRDefault="00D02973" w:rsidP="00D02973">
      <w:pPr>
        <w:pStyle w:val="ListParagraph"/>
        <w:numPr>
          <w:ilvl w:val="0"/>
          <w:numId w:val="22"/>
        </w:numPr>
      </w:pPr>
      <w:r w:rsidRPr="00EA2F26">
        <w:t>Predominant Activity: The main service or purpose that a facility provides</w:t>
      </w:r>
    </w:p>
    <w:p w:rsidR="00D02973" w:rsidRPr="00EA2F26" w:rsidRDefault="00D02973" w:rsidP="00D02973">
      <w:pPr>
        <w:pStyle w:val="ListParagraph"/>
        <w:numPr>
          <w:ilvl w:val="0"/>
          <w:numId w:val="22"/>
        </w:numPr>
      </w:pPr>
      <w:r w:rsidRPr="00EA2F26">
        <w:t xml:space="preserve">Historical Significance: Heritage value as defined by national, state and local heritage registers. </w:t>
      </w:r>
    </w:p>
    <w:p w:rsidR="00D02973" w:rsidRPr="00EA2F26" w:rsidRDefault="00D02973" w:rsidP="00D02973">
      <w:pPr>
        <w:pStyle w:val="ListParagraph"/>
        <w:numPr>
          <w:ilvl w:val="0"/>
          <w:numId w:val="22"/>
        </w:numPr>
      </w:pPr>
      <w:r w:rsidRPr="00EA2F26">
        <w:t>Social/Cultural Value or Economic Benefit: The importance the community places on having the facility, or the level of economic benefit the facility either provides directly or indirectly by assisting in service delivery</w:t>
      </w:r>
    </w:p>
    <w:p w:rsidR="00D02973" w:rsidRPr="00EA2F26" w:rsidRDefault="00D02973" w:rsidP="00D02973">
      <w:pPr>
        <w:pStyle w:val="ListParagraph"/>
        <w:numPr>
          <w:ilvl w:val="0"/>
          <w:numId w:val="22"/>
        </w:numPr>
      </w:pPr>
      <w:r w:rsidRPr="00EA2F26">
        <w:t>Network: The facility forms part of a network of similar facilities across a given area i.e. the impact the facility has on the network if it is removed from service.</w:t>
      </w:r>
    </w:p>
    <w:p w:rsidR="00D02973" w:rsidRPr="00EA2F26" w:rsidRDefault="00D02973" w:rsidP="00D02973">
      <w:r w:rsidRPr="00EA2F26">
        <w:t>The vertical axis of the matrix includes the following classifications:</w:t>
      </w:r>
    </w:p>
    <w:p w:rsidR="00D02973" w:rsidRPr="00EA2F26" w:rsidRDefault="00D02973" w:rsidP="00D02973">
      <w:pPr>
        <w:pStyle w:val="ListParagraph"/>
        <w:numPr>
          <w:ilvl w:val="0"/>
          <w:numId w:val="23"/>
        </w:numPr>
      </w:pPr>
      <w:r w:rsidRPr="00EA2F26">
        <w:t>National/State Significance. Generally only one facility of this nature would exist in the state.</w:t>
      </w:r>
    </w:p>
    <w:p w:rsidR="00D02973" w:rsidRPr="00EA2F26" w:rsidRDefault="00D02973" w:rsidP="00D02973">
      <w:pPr>
        <w:pStyle w:val="ListParagraph"/>
        <w:numPr>
          <w:ilvl w:val="0"/>
          <w:numId w:val="23"/>
        </w:numPr>
      </w:pPr>
      <w:r w:rsidRPr="00EA2F26">
        <w:t xml:space="preserve">Regional Significance: i.e. a large proportion of users come from outside of the district. </w:t>
      </w:r>
    </w:p>
    <w:p w:rsidR="00D02973" w:rsidRPr="00EA2F26" w:rsidRDefault="00D02973" w:rsidP="00D02973">
      <w:pPr>
        <w:pStyle w:val="ListParagraph"/>
        <w:numPr>
          <w:ilvl w:val="0"/>
          <w:numId w:val="23"/>
        </w:numPr>
      </w:pPr>
      <w:r w:rsidRPr="00EA2F26">
        <w:t xml:space="preserve">District Significance: Used mainly by people living in and from adjacent municipal districts. </w:t>
      </w:r>
    </w:p>
    <w:p w:rsidR="00D02973" w:rsidRPr="00EA2F26" w:rsidRDefault="00D02973" w:rsidP="00D02973">
      <w:pPr>
        <w:pStyle w:val="ListParagraph"/>
        <w:numPr>
          <w:ilvl w:val="0"/>
          <w:numId w:val="23"/>
        </w:numPr>
      </w:pPr>
      <w:r w:rsidRPr="00EA2F26">
        <w:t xml:space="preserve">Local Area Significance: Used mainly by people living within a suburb, town, ward or local area. </w:t>
      </w:r>
    </w:p>
    <w:p w:rsidR="00D02973" w:rsidRDefault="00D02973" w:rsidP="00D02973">
      <w:pPr>
        <w:pStyle w:val="ListParagraph"/>
        <w:numPr>
          <w:ilvl w:val="0"/>
          <w:numId w:val="23"/>
        </w:numPr>
      </w:pPr>
      <w:r w:rsidRPr="00EA2F26">
        <w:lastRenderedPageBreak/>
        <w:t xml:space="preserve">Neighbourhood Significance: Mainly used by people within a block or two of where they live. </w:t>
      </w:r>
    </w:p>
    <w:p w:rsidR="00D02973" w:rsidRPr="00EA2F26" w:rsidRDefault="00D02973" w:rsidP="00D02973">
      <w:r>
        <w:t>A service review is required to determine the extent to which the hierarchy influences expenditure on recreation and open space assets.</w:t>
      </w:r>
    </w:p>
    <w:p w:rsidR="00D02973" w:rsidRPr="00DF2FAC" w:rsidRDefault="00D02973" w:rsidP="00D02973">
      <w:pPr>
        <w:pStyle w:val="Heading2"/>
        <w:spacing w:after="200"/>
        <w:rPr>
          <w:rFonts w:asciiTheme="minorHAnsi" w:hAnsiTheme="minorHAnsi"/>
          <w:color w:val="2E74B5" w:themeColor="accent1" w:themeShade="BF"/>
        </w:rPr>
      </w:pPr>
      <w:bookmarkStart w:id="13" w:name="_Toc448475170"/>
      <w:r w:rsidRPr="00DF2FAC">
        <w:rPr>
          <w:rFonts w:asciiTheme="minorHAnsi" w:hAnsiTheme="minorHAnsi"/>
          <w:color w:val="2E74B5" w:themeColor="accent1" w:themeShade="BF"/>
        </w:rPr>
        <w:t xml:space="preserve">2.3 </w:t>
      </w:r>
      <w:r w:rsidRPr="00DF2FAC">
        <w:rPr>
          <w:rFonts w:asciiTheme="minorHAnsi" w:hAnsiTheme="minorHAnsi"/>
          <w:color w:val="2E74B5" w:themeColor="accent1" w:themeShade="BF"/>
        </w:rPr>
        <w:tab/>
        <w:t>Design Standards</w:t>
      </w:r>
      <w:bookmarkEnd w:id="13"/>
      <w:r w:rsidRPr="00DF2FAC">
        <w:rPr>
          <w:rFonts w:asciiTheme="minorHAnsi" w:hAnsiTheme="minorHAnsi"/>
          <w:color w:val="2E74B5" w:themeColor="accent1" w:themeShade="BF"/>
        </w:rPr>
        <w:t xml:space="preserve"> </w:t>
      </w:r>
    </w:p>
    <w:p w:rsidR="00D02973" w:rsidRPr="00EA2F26" w:rsidRDefault="00D02973" w:rsidP="00D02973">
      <w:pPr>
        <w:autoSpaceDE w:val="0"/>
        <w:autoSpaceDN w:val="0"/>
        <w:adjustRightInd w:val="0"/>
        <w:rPr>
          <w:rFonts w:cs="Calibri"/>
          <w:color w:val="000000"/>
        </w:rPr>
      </w:pPr>
      <w:r w:rsidRPr="00EA2F26">
        <w:rPr>
          <w:rFonts w:cs="Calibri"/>
          <w:color w:val="000000"/>
        </w:rPr>
        <w:t xml:space="preserve">Each recreation and open space asset under </w:t>
      </w:r>
      <w:r>
        <w:rPr>
          <w:rFonts w:cs="Calibri"/>
          <w:color w:val="000000"/>
        </w:rPr>
        <w:t>Council</w:t>
      </w:r>
      <w:r w:rsidRPr="00EA2F26">
        <w:rPr>
          <w:rFonts w:cs="Calibri"/>
          <w:color w:val="000000"/>
        </w:rPr>
        <w:t xml:space="preserve">’s control has complied with various design and construction standards relevant at the time of creation. However, </w:t>
      </w:r>
      <w:r>
        <w:rPr>
          <w:rFonts w:cs="Calibri"/>
          <w:color w:val="000000"/>
        </w:rPr>
        <w:t>Council</w:t>
      </w:r>
      <w:r w:rsidRPr="00EA2F26">
        <w:rPr>
          <w:rFonts w:cs="Calibri"/>
          <w:color w:val="000000"/>
        </w:rPr>
        <w:t xml:space="preserve"> faces the need to comply with new and changing standards over time. </w:t>
      </w:r>
    </w:p>
    <w:p w:rsidR="00D02973" w:rsidRPr="00EA2F26" w:rsidRDefault="00D02973" w:rsidP="00D02973">
      <w:pPr>
        <w:pStyle w:val="Heading3"/>
        <w:spacing w:after="200"/>
        <w:rPr>
          <w:rFonts w:asciiTheme="minorHAnsi" w:hAnsiTheme="minorHAnsi"/>
          <w:color w:val="808080" w:themeColor="background1" w:themeShade="80"/>
        </w:rPr>
      </w:pPr>
      <w:bookmarkStart w:id="14" w:name="_Toc448475171"/>
      <w:r w:rsidRPr="00EA2F26">
        <w:rPr>
          <w:rFonts w:asciiTheme="minorHAnsi" w:hAnsiTheme="minorHAnsi"/>
          <w:color w:val="808080" w:themeColor="background1" w:themeShade="80"/>
        </w:rPr>
        <w:t xml:space="preserve">2.3.1 </w:t>
      </w:r>
      <w:r w:rsidRPr="00EA2F26">
        <w:rPr>
          <w:rFonts w:asciiTheme="minorHAnsi" w:hAnsiTheme="minorHAnsi"/>
          <w:color w:val="808080" w:themeColor="background1" w:themeShade="80"/>
        </w:rPr>
        <w:tab/>
        <w:t>Disability Discrimination Act (1992)</w:t>
      </w:r>
      <w:bookmarkEnd w:id="14"/>
    </w:p>
    <w:p w:rsidR="00D02973" w:rsidRPr="00EA2F26" w:rsidRDefault="00D02973" w:rsidP="00D02973">
      <w:pPr>
        <w:autoSpaceDE w:val="0"/>
        <w:autoSpaceDN w:val="0"/>
        <w:adjustRightInd w:val="0"/>
        <w:rPr>
          <w:rFonts w:cs="Calibri"/>
          <w:color w:val="000000"/>
        </w:rPr>
      </w:pPr>
      <w:r w:rsidRPr="00EA2F26">
        <w:rPr>
          <w:rFonts w:cs="Calibri"/>
          <w:color w:val="000000"/>
        </w:rPr>
        <w:t xml:space="preserve">The Disability Discrimination Act (DDA, 1992) makes it a legal requirement for public places to be accessible for people with a disability. DDA compliance is a key consideration in the design and construction of any new or upgraded recreation and open space asset. </w:t>
      </w:r>
    </w:p>
    <w:p w:rsidR="00D02973" w:rsidRPr="00EA2F26" w:rsidRDefault="00D02973" w:rsidP="00D02973">
      <w:pPr>
        <w:pStyle w:val="Heading3"/>
        <w:spacing w:after="200"/>
        <w:rPr>
          <w:rFonts w:asciiTheme="minorHAnsi" w:hAnsiTheme="minorHAnsi"/>
          <w:color w:val="808080" w:themeColor="background1" w:themeShade="80"/>
        </w:rPr>
      </w:pPr>
      <w:bookmarkStart w:id="15" w:name="_Toc448475172"/>
      <w:r w:rsidRPr="00EA2F26">
        <w:rPr>
          <w:rFonts w:asciiTheme="minorHAnsi" w:hAnsiTheme="minorHAnsi"/>
          <w:color w:val="808080" w:themeColor="background1" w:themeShade="80"/>
        </w:rPr>
        <w:t xml:space="preserve">2.3.2 </w:t>
      </w:r>
      <w:r w:rsidRPr="00EA2F26">
        <w:rPr>
          <w:rFonts w:asciiTheme="minorHAnsi" w:hAnsiTheme="minorHAnsi"/>
          <w:color w:val="808080" w:themeColor="background1" w:themeShade="80"/>
        </w:rPr>
        <w:tab/>
        <w:t>Playground Standard AS 4685:2014</w:t>
      </w:r>
      <w:bookmarkEnd w:id="15"/>
    </w:p>
    <w:p w:rsidR="00D02973" w:rsidRPr="00EA2F26" w:rsidRDefault="00D02973" w:rsidP="00D02973">
      <w:pPr>
        <w:autoSpaceDE w:val="0"/>
        <w:autoSpaceDN w:val="0"/>
        <w:adjustRightInd w:val="0"/>
        <w:rPr>
          <w:rFonts w:cs="Calibri"/>
          <w:color w:val="000000"/>
        </w:rPr>
      </w:pPr>
      <w:r w:rsidRPr="00EA2F26">
        <w:rPr>
          <w:rFonts w:cs="Calibri"/>
          <w:color w:val="000000"/>
        </w:rPr>
        <w:t>Playgrounds must be designed and constructed in alignment with all relevant Australian Standards</w:t>
      </w:r>
      <w:r>
        <w:rPr>
          <w:rFonts w:cs="Calibri"/>
          <w:color w:val="000000"/>
        </w:rPr>
        <w:t>,</w:t>
      </w:r>
      <w:r w:rsidRPr="00EA2F26">
        <w:rPr>
          <w:rFonts w:cs="Calibri"/>
          <w:color w:val="000000"/>
        </w:rPr>
        <w:t xml:space="preserve"> such as AS 4685:2014. </w:t>
      </w:r>
    </w:p>
    <w:p w:rsidR="00D02973" w:rsidRPr="00EA2F26" w:rsidRDefault="00D02973" w:rsidP="00D02973">
      <w:pPr>
        <w:pStyle w:val="Heading3"/>
        <w:spacing w:after="200"/>
        <w:rPr>
          <w:rFonts w:asciiTheme="minorHAnsi" w:hAnsiTheme="minorHAnsi"/>
          <w:color w:val="808080" w:themeColor="background1" w:themeShade="80"/>
        </w:rPr>
      </w:pPr>
      <w:bookmarkStart w:id="16" w:name="_Toc448475173"/>
      <w:r w:rsidRPr="00EA2F26">
        <w:rPr>
          <w:rFonts w:asciiTheme="minorHAnsi" w:hAnsiTheme="minorHAnsi"/>
          <w:color w:val="808080" w:themeColor="background1" w:themeShade="80"/>
        </w:rPr>
        <w:t xml:space="preserve">2.3.3 </w:t>
      </w:r>
      <w:r w:rsidRPr="00EA2F26">
        <w:rPr>
          <w:rFonts w:asciiTheme="minorHAnsi" w:hAnsiTheme="minorHAnsi"/>
          <w:color w:val="808080" w:themeColor="background1" w:themeShade="80"/>
        </w:rPr>
        <w:tab/>
      </w:r>
      <w:r>
        <w:rPr>
          <w:rFonts w:asciiTheme="minorHAnsi" w:hAnsiTheme="minorHAnsi"/>
          <w:color w:val="808080" w:themeColor="background1" w:themeShade="80"/>
        </w:rPr>
        <w:t>Council</w:t>
      </w:r>
      <w:r w:rsidRPr="00EA2F26">
        <w:rPr>
          <w:rFonts w:asciiTheme="minorHAnsi" w:hAnsiTheme="minorHAnsi"/>
          <w:color w:val="808080" w:themeColor="background1" w:themeShade="80"/>
        </w:rPr>
        <w:t xml:space="preserve"> Footpath </w:t>
      </w:r>
      <w:r>
        <w:rPr>
          <w:rFonts w:asciiTheme="minorHAnsi" w:hAnsiTheme="minorHAnsi"/>
          <w:color w:val="808080" w:themeColor="background1" w:themeShade="80"/>
        </w:rPr>
        <w:t xml:space="preserve">Treatments Within The Road Reserve </w:t>
      </w:r>
      <w:r w:rsidRPr="00EA2F26">
        <w:rPr>
          <w:rFonts w:asciiTheme="minorHAnsi" w:hAnsiTheme="minorHAnsi"/>
          <w:color w:val="808080" w:themeColor="background1" w:themeShade="80"/>
        </w:rPr>
        <w:t>Policy</w:t>
      </w:r>
      <w:bookmarkEnd w:id="16"/>
      <w:r w:rsidRPr="00EA2F26">
        <w:rPr>
          <w:rFonts w:asciiTheme="minorHAnsi" w:hAnsiTheme="minorHAnsi"/>
          <w:color w:val="808080" w:themeColor="background1" w:themeShade="80"/>
        </w:rPr>
        <w:t xml:space="preserve">  </w:t>
      </w:r>
    </w:p>
    <w:p w:rsidR="00D02973" w:rsidRDefault="00D02973" w:rsidP="00D02973">
      <w:r w:rsidRPr="00EA2F26">
        <w:t xml:space="preserve">Footpaths within the road reserve that provide access to parks and reserves will be constructed in accordance with </w:t>
      </w:r>
      <w:r>
        <w:t>Council</w:t>
      </w:r>
      <w:r w:rsidRPr="00EA2F26">
        <w:t xml:space="preserve">’s Footpath </w:t>
      </w:r>
      <w:r>
        <w:t xml:space="preserve">Treatments Within The Road Reserve </w:t>
      </w:r>
      <w:r w:rsidRPr="00EA2F26">
        <w:t>Policy. Footpaths and trails in parks and reserves are commonly constructed of a vari</w:t>
      </w:r>
      <w:r>
        <w:t>ety of materials and maintenance reflects</w:t>
      </w:r>
      <w:r w:rsidRPr="00EA2F26">
        <w:t xml:space="preserve"> a range of service levels.</w:t>
      </w:r>
    </w:p>
    <w:p w:rsidR="00D02973" w:rsidRPr="00EA2F26" w:rsidRDefault="00D02973" w:rsidP="00D02973">
      <w:r w:rsidRPr="00EA2F26">
        <w:t xml:space="preserve">Within Victoria, the Equal Opportunity Act 2010 (the Act) applies to </w:t>
      </w:r>
      <w:r>
        <w:t>Council</w:t>
      </w:r>
      <w:r w:rsidRPr="00EA2F26">
        <w:t>’s construction of new footpaths.  The intent of this Act is to ensure that a person with a disability has a right to access and use public places in the same way that a person without a disability does. Places used by the public as defined within the Act include public footpaths.  A person with a disability can make a complaint of discrimination if a place used by the pu</w:t>
      </w:r>
      <w:r>
        <w:t>blic is not accessible to them.</w:t>
      </w:r>
    </w:p>
    <w:p w:rsidR="00D02973" w:rsidRPr="00EA2F26" w:rsidRDefault="00D02973" w:rsidP="00D02973">
      <w:pPr>
        <w:pStyle w:val="Heading3"/>
        <w:spacing w:after="200"/>
        <w:rPr>
          <w:rFonts w:asciiTheme="minorHAnsi" w:hAnsiTheme="minorHAnsi"/>
          <w:color w:val="808080" w:themeColor="background1" w:themeShade="80"/>
        </w:rPr>
      </w:pPr>
      <w:bookmarkStart w:id="17" w:name="_Toc448475174"/>
      <w:r w:rsidRPr="00EA2F26">
        <w:rPr>
          <w:rFonts w:asciiTheme="minorHAnsi" w:hAnsiTheme="minorHAnsi"/>
          <w:color w:val="808080" w:themeColor="background1" w:themeShade="80"/>
        </w:rPr>
        <w:t xml:space="preserve">2.3.4 </w:t>
      </w:r>
      <w:r w:rsidRPr="00EA2F26">
        <w:rPr>
          <w:rFonts w:asciiTheme="minorHAnsi" w:hAnsiTheme="minorHAnsi"/>
          <w:color w:val="808080" w:themeColor="background1" w:themeShade="80"/>
        </w:rPr>
        <w:tab/>
        <w:t>Place Design Manual</w:t>
      </w:r>
      <w:bookmarkEnd w:id="17"/>
    </w:p>
    <w:p w:rsidR="00D02973" w:rsidRPr="00EA2F26" w:rsidRDefault="00D02973" w:rsidP="00D02973">
      <w:r>
        <w:t>Council</w:t>
      </w:r>
      <w:r w:rsidRPr="00EA2F26">
        <w:t xml:space="preserve"> standards for open space design are in accordance with </w:t>
      </w:r>
      <w:r>
        <w:t>Council’s</w:t>
      </w:r>
      <w:r w:rsidRPr="00EA2F26">
        <w:t xml:space="preserve"> </w:t>
      </w:r>
      <w:r>
        <w:t>place</w:t>
      </w:r>
      <w:r w:rsidRPr="00EA2F26">
        <w:t xml:space="preserve"> design manual</w:t>
      </w:r>
      <w:r w:rsidRPr="00EA2F26">
        <w:rPr>
          <w:rStyle w:val="FootnoteReference"/>
        </w:rPr>
        <w:footnoteReference w:id="1"/>
      </w:r>
      <w:r w:rsidRPr="00EA2F26">
        <w:t xml:space="preserve">. </w:t>
      </w:r>
    </w:p>
    <w:p w:rsidR="00D02973" w:rsidRPr="00EA2F26" w:rsidRDefault="00D02973" w:rsidP="00D02973">
      <w:pPr>
        <w:pStyle w:val="Heading3"/>
        <w:spacing w:after="200"/>
        <w:rPr>
          <w:rFonts w:asciiTheme="minorHAnsi" w:hAnsiTheme="minorHAnsi"/>
          <w:color w:val="808080" w:themeColor="background1" w:themeShade="80"/>
        </w:rPr>
      </w:pPr>
      <w:bookmarkStart w:id="18" w:name="_Toc448475175"/>
      <w:r w:rsidRPr="00EA2F26">
        <w:rPr>
          <w:rFonts w:asciiTheme="minorHAnsi" w:hAnsiTheme="minorHAnsi"/>
          <w:color w:val="808080" w:themeColor="background1" w:themeShade="80"/>
        </w:rPr>
        <w:t>2.3.5</w:t>
      </w:r>
      <w:r w:rsidRPr="00EA2F26">
        <w:rPr>
          <w:rFonts w:asciiTheme="minorHAnsi" w:hAnsiTheme="minorHAnsi"/>
          <w:color w:val="808080" w:themeColor="background1" w:themeShade="80"/>
        </w:rPr>
        <w:tab/>
      </w:r>
      <w:r>
        <w:rPr>
          <w:rFonts w:asciiTheme="minorHAnsi" w:hAnsiTheme="minorHAnsi"/>
          <w:color w:val="808080" w:themeColor="background1" w:themeShade="80"/>
        </w:rPr>
        <w:t>Electricity Safety (Electric Line Clearance) Regulations 2015</w:t>
      </w:r>
      <w:bookmarkEnd w:id="18"/>
    </w:p>
    <w:p w:rsidR="00D02973" w:rsidRPr="005D525E" w:rsidRDefault="00D02973" w:rsidP="00D02973">
      <w:r w:rsidRPr="00057C8B">
        <w:t>Legislation concerning overhead electrical lines has become more stringent in recent years. The Electricity Safety (Electric Line Clearance) Regulations 2015</w:t>
      </w:r>
      <w:r>
        <w:t xml:space="preserve"> represents considerable consultation between Council’s, MAV, distribution retailers and Energy Safe Victoria. As one of the main </w:t>
      </w:r>
      <w:r>
        <w:lastRenderedPageBreak/>
        <w:t>infrastructure components in the road reserve, tree legislation has been reviewed to allow effective asset management without compromising the safety of line workers or the community.</w:t>
      </w:r>
    </w:p>
    <w:p w:rsidR="00D02973" w:rsidRPr="00DF2FAC" w:rsidRDefault="00D02973" w:rsidP="00D02973">
      <w:pPr>
        <w:pStyle w:val="Heading2"/>
        <w:spacing w:before="0" w:after="200"/>
        <w:rPr>
          <w:rFonts w:asciiTheme="minorHAnsi" w:hAnsiTheme="minorHAnsi"/>
          <w:color w:val="2E74B5" w:themeColor="accent1" w:themeShade="BF"/>
        </w:rPr>
      </w:pPr>
      <w:bookmarkStart w:id="19" w:name="_Toc448475176"/>
      <w:r w:rsidRPr="00DF2FAC">
        <w:rPr>
          <w:rFonts w:asciiTheme="minorHAnsi" w:hAnsiTheme="minorHAnsi"/>
          <w:color w:val="2E74B5" w:themeColor="accent1" w:themeShade="BF"/>
        </w:rPr>
        <w:t xml:space="preserve">2.4 </w:t>
      </w:r>
      <w:r w:rsidRPr="00DF2FAC">
        <w:rPr>
          <w:rFonts w:asciiTheme="minorHAnsi" w:hAnsiTheme="minorHAnsi"/>
          <w:color w:val="2E74B5" w:themeColor="accent1" w:themeShade="BF"/>
        </w:rPr>
        <w:tab/>
        <w:t>Levels of Service</w:t>
      </w:r>
      <w:bookmarkEnd w:id="19"/>
    </w:p>
    <w:p w:rsidR="00D02973" w:rsidRPr="00EA2F26" w:rsidRDefault="00D02973" w:rsidP="00D02973">
      <w:r>
        <w:t>Council</w:t>
      </w:r>
      <w:r w:rsidRPr="00EA2F26">
        <w:t xml:space="preserve"> has determined the standard to which it will design, construct, inspect, maintain and repair recreation and open space assets. In developing these levels of service, </w:t>
      </w:r>
      <w:r>
        <w:t>Council</w:t>
      </w:r>
      <w:r w:rsidRPr="00EA2F26">
        <w:t xml:space="preserve"> has considered community expectations, current levels of service, the level of risk imposed and available resources. </w:t>
      </w:r>
    </w:p>
    <w:p w:rsidR="00D02973" w:rsidRPr="00EA2F26" w:rsidRDefault="00D02973" w:rsidP="00D02973">
      <w:r w:rsidRPr="00EA2F26">
        <w:t xml:space="preserve">A key objective of asset management planning is to align the level of service with the community’s expectations. The relationship with the cost of the service is evaluated to determine the optimum level of service the community is prepared to pay for. Current levels of service for maintenance are assumed to reflect the balance between customer expectations and financial affordability. </w:t>
      </w:r>
    </w:p>
    <w:p w:rsidR="00D02973" w:rsidRPr="00EA2F26" w:rsidRDefault="00D02973" w:rsidP="00D02973">
      <w:r w:rsidRPr="00EA2F26">
        <w:t xml:space="preserve">The target levels of service for the recreation and open space assets aim to reflect industry standards and are based on stakeholder consultation, </w:t>
      </w:r>
      <w:r>
        <w:t>Council</w:t>
      </w:r>
      <w:r w:rsidRPr="00EA2F26">
        <w:t xml:space="preserve"> Plan goals and priorities, the Long Term Financial Plan (LTFP), the 4-year Capital Works Program and legislative requirements.</w:t>
      </w:r>
    </w:p>
    <w:p w:rsidR="00D02973" w:rsidRPr="00EA2F26" w:rsidRDefault="00D02973" w:rsidP="00D02973">
      <w:pPr>
        <w:autoSpaceDE w:val="0"/>
        <w:autoSpaceDN w:val="0"/>
        <w:adjustRightInd w:val="0"/>
        <w:rPr>
          <w:rFonts w:cs="Calibri"/>
          <w:color w:val="000000"/>
        </w:rPr>
      </w:pPr>
      <w:r w:rsidRPr="00EA2F26">
        <w:rPr>
          <w:rFonts w:cs="Calibri"/>
          <w:color w:val="000000"/>
        </w:rPr>
        <w:t xml:space="preserve">General levels of service for recreation and open space assets are provided in </w:t>
      </w:r>
      <w:r>
        <w:rPr>
          <w:rFonts w:cs="Calibri"/>
          <w:color w:val="000000"/>
        </w:rPr>
        <w:t>Appendix 4</w:t>
      </w:r>
      <w:r w:rsidRPr="00EA2F26">
        <w:rPr>
          <w:rFonts w:cs="Calibri"/>
          <w:color w:val="000000"/>
        </w:rPr>
        <w:t>. These will address most of the concerns raised in the above consultations. Detailed levels of service are required to be developed for each recreation and open space category in future revisions. Appendix 2 gives levels of service, the current performance and then the desired performance.</w:t>
      </w:r>
    </w:p>
    <w:p w:rsidR="00D02973" w:rsidRPr="00EA2F26" w:rsidRDefault="00D02973" w:rsidP="00D02973">
      <w:pPr>
        <w:pStyle w:val="Heading3"/>
        <w:spacing w:after="200"/>
        <w:rPr>
          <w:rFonts w:asciiTheme="minorHAnsi" w:hAnsiTheme="minorHAnsi"/>
          <w:color w:val="808080" w:themeColor="background1" w:themeShade="80"/>
        </w:rPr>
      </w:pPr>
      <w:bookmarkStart w:id="20" w:name="_Toc448475177"/>
      <w:r w:rsidRPr="00EA2F26">
        <w:rPr>
          <w:rFonts w:asciiTheme="minorHAnsi" w:hAnsiTheme="minorHAnsi"/>
          <w:color w:val="808080" w:themeColor="background1" w:themeShade="80"/>
        </w:rPr>
        <w:t xml:space="preserve">2.4.1 </w:t>
      </w:r>
      <w:r>
        <w:rPr>
          <w:rFonts w:asciiTheme="minorHAnsi" w:hAnsiTheme="minorHAnsi"/>
          <w:color w:val="808080" w:themeColor="background1" w:themeShade="80"/>
        </w:rPr>
        <w:tab/>
      </w:r>
      <w:r w:rsidRPr="00EA2F26">
        <w:rPr>
          <w:rFonts w:asciiTheme="minorHAnsi" w:hAnsiTheme="minorHAnsi"/>
          <w:color w:val="808080" w:themeColor="background1" w:themeShade="80"/>
        </w:rPr>
        <w:t>Community Levels of Service</w:t>
      </w:r>
      <w:bookmarkEnd w:id="20"/>
    </w:p>
    <w:p w:rsidR="00D02973" w:rsidRPr="00EA2F26" w:rsidRDefault="00D02973" w:rsidP="00D02973">
      <w:pPr>
        <w:autoSpaceDE w:val="0"/>
        <w:autoSpaceDN w:val="0"/>
        <w:adjustRightInd w:val="0"/>
        <w:rPr>
          <w:rFonts w:cs="Calibri"/>
          <w:color w:val="000000"/>
        </w:rPr>
      </w:pPr>
      <w:r w:rsidRPr="00EA2F26">
        <w:rPr>
          <w:rFonts w:cs="Calibri"/>
          <w:bCs/>
          <w:iCs/>
          <w:color w:val="000000"/>
        </w:rPr>
        <w:t xml:space="preserve">Community Levels of Service </w:t>
      </w:r>
      <w:r w:rsidRPr="00EA2F26">
        <w:rPr>
          <w:rFonts w:cs="Calibri"/>
          <w:color w:val="000000"/>
        </w:rPr>
        <w:t xml:space="preserve">relate to the community’s expectation and perception of the performance / quality of a service that is delivered by </w:t>
      </w:r>
      <w:r>
        <w:rPr>
          <w:rFonts w:cs="Calibri"/>
          <w:color w:val="000000"/>
        </w:rPr>
        <w:t>Council</w:t>
      </w:r>
      <w:r w:rsidRPr="00EA2F26">
        <w:rPr>
          <w:rFonts w:cs="Calibri"/>
          <w:color w:val="000000"/>
        </w:rPr>
        <w:t xml:space="preserve">. It may include things such as function, style, performance, level of cleanliness, maintenance responsiveness, quality and type of consumables, safety and accessibility. </w:t>
      </w:r>
    </w:p>
    <w:p w:rsidR="00D02973" w:rsidRPr="00EA2F26" w:rsidRDefault="00D02973" w:rsidP="00D02973">
      <w:pPr>
        <w:autoSpaceDE w:val="0"/>
        <w:autoSpaceDN w:val="0"/>
        <w:adjustRightInd w:val="0"/>
        <w:rPr>
          <w:rFonts w:cs="Calibri"/>
          <w:color w:val="000000"/>
        </w:rPr>
      </w:pPr>
      <w:r w:rsidRPr="00EA2F26">
        <w:rPr>
          <w:rFonts w:cs="Calibri"/>
          <w:color w:val="000000"/>
        </w:rPr>
        <w:t xml:space="preserve">In assessing the value that a </w:t>
      </w:r>
      <w:r>
        <w:rPr>
          <w:rFonts w:cs="Calibri"/>
          <w:color w:val="000000"/>
        </w:rPr>
        <w:t>Council</w:t>
      </w:r>
      <w:r w:rsidRPr="00EA2F26">
        <w:rPr>
          <w:rFonts w:cs="Calibri"/>
          <w:color w:val="000000"/>
        </w:rPr>
        <w:t xml:space="preserve"> asset provides the community the following questions are considered relevant:</w:t>
      </w:r>
    </w:p>
    <w:p w:rsidR="00D02973" w:rsidRPr="00EA2F26" w:rsidRDefault="00D02973" w:rsidP="00D02973">
      <w:pPr>
        <w:pStyle w:val="ListParagraph"/>
        <w:numPr>
          <w:ilvl w:val="0"/>
          <w:numId w:val="32"/>
        </w:numPr>
      </w:pPr>
      <w:r w:rsidRPr="00EA2F26">
        <w:t xml:space="preserve">Is the service delivery provided by the asset meeting </w:t>
      </w:r>
      <w:r>
        <w:t>Council</w:t>
      </w:r>
      <w:r w:rsidRPr="00EA2F26">
        <w:t>’s service objectives and the needs and expectations of the community?</w:t>
      </w:r>
    </w:p>
    <w:p w:rsidR="00D02973" w:rsidRPr="00EA2F26" w:rsidRDefault="00D02973" w:rsidP="00D02973">
      <w:pPr>
        <w:pStyle w:val="ListParagraph"/>
        <w:numPr>
          <w:ilvl w:val="0"/>
          <w:numId w:val="32"/>
        </w:numPr>
      </w:pPr>
      <w:r w:rsidRPr="00EA2F26">
        <w:t>Is the facility accessible, in the right location with a viable catchment area?</w:t>
      </w:r>
    </w:p>
    <w:p w:rsidR="00D02973" w:rsidRPr="00EA2F26" w:rsidRDefault="00D02973" w:rsidP="00D02973">
      <w:pPr>
        <w:pStyle w:val="ListParagraph"/>
        <w:numPr>
          <w:ilvl w:val="0"/>
          <w:numId w:val="32"/>
        </w:numPr>
      </w:pPr>
      <w:r w:rsidRPr="00EA2F26">
        <w:t>Is the design of the asset appropriate, does it need upgrading?</w:t>
      </w:r>
    </w:p>
    <w:p w:rsidR="00D02973" w:rsidRPr="00EA2F26" w:rsidRDefault="00D02973" w:rsidP="00D02973">
      <w:pPr>
        <w:pStyle w:val="ListParagraph"/>
        <w:numPr>
          <w:ilvl w:val="0"/>
          <w:numId w:val="32"/>
        </w:numPr>
      </w:pPr>
      <w:r w:rsidRPr="00EA2F26">
        <w:t>Could the asset be closed or relocated or provided elsewhere?</w:t>
      </w:r>
    </w:p>
    <w:p w:rsidR="00D02973" w:rsidRPr="00EA2F26" w:rsidRDefault="00D02973" w:rsidP="00D02973">
      <w:pPr>
        <w:pStyle w:val="ListParagraph"/>
        <w:numPr>
          <w:ilvl w:val="0"/>
          <w:numId w:val="32"/>
        </w:numPr>
      </w:pPr>
      <w:r w:rsidRPr="00EA2F26">
        <w:t>How does the performance of the asset compare with industry benchmarks?</w:t>
      </w:r>
    </w:p>
    <w:p w:rsidR="00D02973" w:rsidRPr="00EA2F26" w:rsidRDefault="00D02973" w:rsidP="00D02973">
      <w:pPr>
        <w:pStyle w:val="ListParagraph"/>
        <w:numPr>
          <w:ilvl w:val="0"/>
          <w:numId w:val="32"/>
        </w:numPr>
        <w:ind w:left="357" w:hanging="357"/>
        <w:contextualSpacing w:val="0"/>
      </w:pPr>
      <w:r w:rsidRPr="00EA2F26">
        <w:t>Is future capital renewal or upgrade of the asset justified?</w:t>
      </w:r>
    </w:p>
    <w:p w:rsidR="00D02973" w:rsidRDefault="00D02973" w:rsidP="00D02973">
      <w:r w:rsidRPr="00EA2F26">
        <w:t>In order to address these issues, a Facility Benefit Model has been developed that assesses the value of the asset against agreed community benefit performance indicators that are based on asset management, community service, financial utilisation and environmental performance, which involve:</w:t>
      </w:r>
    </w:p>
    <w:p w:rsidR="00AA1CC4" w:rsidRPr="00EA2F26" w:rsidRDefault="00AA1CC4" w:rsidP="00D02973"/>
    <w:p w:rsidR="00D02973" w:rsidRPr="00EA2F26" w:rsidRDefault="00D02973" w:rsidP="00D02973">
      <w:pPr>
        <w:pStyle w:val="ListParagraph"/>
        <w:numPr>
          <w:ilvl w:val="0"/>
          <w:numId w:val="33"/>
        </w:numPr>
      </w:pPr>
      <w:r w:rsidRPr="00EA2F26">
        <w:lastRenderedPageBreak/>
        <w:t>Meeting community needs and service objectives</w:t>
      </w:r>
    </w:p>
    <w:p w:rsidR="00D02973" w:rsidRPr="00EA2F26" w:rsidRDefault="00D02973" w:rsidP="00D02973">
      <w:pPr>
        <w:pStyle w:val="ListParagraph"/>
        <w:numPr>
          <w:ilvl w:val="0"/>
          <w:numId w:val="33"/>
        </w:numPr>
      </w:pPr>
      <w:r w:rsidRPr="00EA2F26">
        <w:t>Financial (operating and life-cycle costs, commercial potential, rate of return)</w:t>
      </w:r>
    </w:p>
    <w:p w:rsidR="00D02973" w:rsidRPr="00EA2F26" w:rsidRDefault="00D02973" w:rsidP="00D02973">
      <w:pPr>
        <w:pStyle w:val="ListParagraph"/>
        <w:numPr>
          <w:ilvl w:val="0"/>
          <w:numId w:val="33"/>
        </w:numPr>
      </w:pPr>
      <w:r w:rsidRPr="00EA2F26">
        <w:t>Design and functionality</w:t>
      </w:r>
    </w:p>
    <w:p w:rsidR="00D02973" w:rsidRPr="00EA2F26" w:rsidRDefault="00D02973" w:rsidP="00D02973">
      <w:pPr>
        <w:pStyle w:val="ListParagraph"/>
        <w:numPr>
          <w:ilvl w:val="0"/>
          <w:numId w:val="33"/>
        </w:numPr>
      </w:pPr>
      <w:r w:rsidRPr="00EA2F26">
        <w:t>Utilisation (compared with max capacity)</w:t>
      </w:r>
    </w:p>
    <w:p w:rsidR="00D02973" w:rsidRPr="00EA2F26" w:rsidRDefault="00D02973" w:rsidP="00D02973">
      <w:pPr>
        <w:pStyle w:val="ListParagraph"/>
        <w:numPr>
          <w:ilvl w:val="0"/>
          <w:numId w:val="33"/>
        </w:numPr>
      </w:pPr>
      <w:r w:rsidRPr="00EA2F26">
        <w:t>Future demand – ability to cope with growth and demographic changes</w:t>
      </w:r>
    </w:p>
    <w:p w:rsidR="00D02973" w:rsidRPr="00EA2F26" w:rsidRDefault="00D02973" w:rsidP="00D02973">
      <w:r w:rsidRPr="00EA2F26">
        <w:t>(Note: Each performance criterion is weighting based on its strategic importance.)</w:t>
      </w:r>
    </w:p>
    <w:p w:rsidR="00D02973" w:rsidRPr="00EA2F26" w:rsidRDefault="00D02973" w:rsidP="00D02973">
      <w:pPr>
        <w:autoSpaceDE w:val="0"/>
        <w:autoSpaceDN w:val="0"/>
        <w:adjustRightInd w:val="0"/>
        <w:rPr>
          <w:rFonts w:cs="Calibri"/>
          <w:color w:val="000000"/>
        </w:rPr>
      </w:pPr>
      <w:r w:rsidRPr="00EA2F26">
        <w:rPr>
          <w:rFonts w:cs="Calibri"/>
          <w:color w:val="000000"/>
        </w:rPr>
        <w:t>In the development of Asset Upgrade Strategies and Strategic Service Reviews (</w:t>
      </w:r>
      <w:r>
        <w:rPr>
          <w:rFonts w:cs="Calibri"/>
          <w:color w:val="000000"/>
        </w:rPr>
        <w:t xml:space="preserve">a summary is proved in </w:t>
      </w:r>
      <w:r w:rsidRPr="00EA2F26">
        <w:rPr>
          <w:rFonts w:cs="Calibri"/>
          <w:color w:val="000000"/>
        </w:rPr>
        <w:t>Table 3</w:t>
      </w:r>
      <w:r>
        <w:rPr>
          <w:rFonts w:cs="Calibri"/>
          <w:color w:val="000000"/>
        </w:rPr>
        <w:t xml:space="preserve"> on P24</w:t>
      </w:r>
      <w:r w:rsidRPr="00EA2F26">
        <w:rPr>
          <w:rFonts w:cs="Calibri"/>
          <w:color w:val="000000"/>
        </w:rPr>
        <w:t xml:space="preserve">) there is typically stakeholder consultation conducted during the data collection phase, and later with a draft strategy document and/or action plan. This process also applies to </w:t>
      </w:r>
      <w:r>
        <w:rPr>
          <w:rFonts w:cs="Calibri"/>
          <w:color w:val="000000"/>
        </w:rPr>
        <w:t>Council’s</w:t>
      </w:r>
      <w:r w:rsidRPr="00EA2F26">
        <w:rPr>
          <w:rFonts w:cs="Calibri"/>
          <w:color w:val="000000"/>
        </w:rPr>
        <w:t xml:space="preserve"> Community Plans – for the Bayside 2020 community plan, over 1140 people participated in the community planning process. </w:t>
      </w:r>
      <w:r>
        <w:rPr>
          <w:rFonts w:cs="Calibri"/>
          <w:color w:val="000000"/>
        </w:rPr>
        <w:t>Council</w:t>
      </w:r>
      <w:r w:rsidRPr="00EA2F26">
        <w:rPr>
          <w:rFonts w:cs="Calibri"/>
          <w:color w:val="000000"/>
        </w:rPr>
        <w:t xml:space="preserve"> is currently consulting with the community and stakeholder for the new 2025 Community Plan. </w:t>
      </w:r>
    </w:p>
    <w:p w:rsidR="00D02973" w:rsidRPr="00EA2F26" w:rsidRDefault="00D02973" w:rsidP="00D02973">
      <w:pPr>
        <w:autoSpaceDE w:val="0"/>
        <w:autoSpaceDN w:val="0"/>
        <w:adjustRightInd w:val="0"/>
        <w:rPr>
          <w:rFonts w:cs="Calibri"/>
          <w:color w:val="000000"/>
        </w:rPr>
      </w:pPr>
      <w:r w:rsidRPr="00EA2F26">
        <w:rPr>
          <w:rFonts w:cs="Calibri"/>
          <w:color w:val="000000"/>
        </w:rPr>
        <w:t xml:space="preserve">Each year, stakeholders have the opportunity to comment on the annual report and the draft budget including allocation for capital works and asset maintenance. The ongoing program of Strategic Service Reviews also considers feedback from service users regarding the programs, services and assets used to deliver the service. </w:t>
      </w:r>
    </w:p>
    <w:p w:rsidR="00D02973" w:rsidRPr="00EA2F26" w:rsidRDefault="00D02973" w:rsidP="00D02973">
      <w:pPr>
        <w:autoSpaceDE w:val="0"/>
        <w:autoSpaceDN w:val="0"/>
        <w:adjustRightInd w:val="0"/>
        <w:rPr>
          <w:rFonts w:cs="Calibri"/>
          <w:color w:val="000000"/>
        </w:rPr>
      </w:pPr>
      <w:r w:rsidRPr="00EA2F26">
        <w:rPr>
          <w:rFonts w:cs="Calibri"/>
          <w:color w:val="000000"/>
        </w:rPr>
        <w:t xml:space="preserve">Each year, Local Government Victoria co-ordinates the Local Government Community Satisfaction Survey for Victorian Local Government areas. The objective of the survey is to gauge the importance of </w:t>
      </w:r>
      <w:r>
        <w:rPr>
          <w:rFonts w:cs="Calibri"/>
          <w:color w:val="000000"/>
        </w:rPr>
        <w:t>Council</w:t>
      </w:r>
      <w:r w:rsidRPr="00EA2F26">
        <w:rPr>
          <w:rFonts w:cs="Calibri"/>
          <w:color w:val="000000"/>
        </w:rPr>
        <w:t xml:space="preserve"> services as assessed by the general community, and the performance of individual </w:t>
      </w:r>
      <w:r>
        <w:rPr>
          <w:rFonts w:cs="Calibri"/>
          <w:color w:val="000000"/>
        </w:rPr>
        <w:t>Council’s</w:t>
      </w:r>
      <w:r w:rsidRPr="00EA2F26">
        <w:rPr>
          <w:rFonts w:cs="Calibri"/>
          <w:color w:val="000000"/>
        </w:rPr>
        <w:t xml:space="preserve"> across a range of service areas. The survey is conducted in February-March of each year and the results are published in May. Relevant measures from this survey include the community’s views about:</w:t>
      </w:r>
    </w:p>
    <w:p w:rsidR="00D02973" w:rsidRPr="00EA2F26" w:rsidRDefault="00D02973" w:rsidP="00D02973">
      <w:pPr>
        <w:pStyle w:val="ListParagraph"/>
        <w:numPr>
          <w:ilvl w:val="0"/>
          <w:numId w:val="21"/>
        </w:numPr>
        <w:autoSpaceDE w:val="0"/>
        <w:autoSpaceDN w:val="0"/>
        <w:adjustRightInd w:val="0"/>
        <w:rPr>
          <w:rFonts w:cs="Calibri"/>
          <w:color w:val="000000"/>
        </w:rPr>
      </w:pPr>
      <w:r w:rsidRPr="00EA2F26">
        <w:rPr>
          <w:rFonts w:cs="Calibri"/>
          <w:color w:val="000000"/>
        </w:rPr>
        <w:t>Family support services</w:t>
      </w:r>
    </w:p>
    <w:p w:rsidR="00D02973" w:rsidRPr="00EA2F26" w:rsidRDefault="00D02973" w:rsidP="00D02973">
      <w:pPr>
        <w:pStyle w:val="ListParagraph"/>
        <w:numPr>
          <w:ilvl w:val="0"/>
          <w:numId w:val="21"/>
        </w:numPr>
        <w:autoSpaceDE w:val="0"/>
        <w:autoSpaceDN w:val="0"/>
        <w:adjustRightInd w:val="0"/>
        <w:rPr>
          <w:rFonts w:cs="Calibri"/>
          <w:color w:val="000000"/>
        </w:rPr>
      </w:pPr>
      <w:r w:rsidRPr="00EA2F26">
        <w:rPr>
          <w:rFonts w:cs="Calibri"/>
          <w:color w:val="000000"/>
        </w:rPr>
        <w:t>Elderly support services</w:t>
      </w:r>
    </w:p>
    <w:p w:rsidR="00D02973" w:rsidRPr="00EA2F26" w:rsidRDefault="00D02973" w:rsidP="00D02973">
      <w:pPr>
        <w:pStyle w:val="ListParagraph"/>
        <w:numPr>
          <w:ilvl w:val="0"/>
          <w:numId w:val="21"/>
        </w:numPr>
        <w:autoSpaceDE w:val="0"/>
        <w:autoSpaceDN w:val="0"/>
        <w:adjustRightInd w:val="0"/>
        <w:rPr>
          <w:rFonts w:cs="Calibri"/>
          <w:color w:val="000000"/>
        </w:rPr>
      </w:pPr>
      <w:r w:rsidRPr="00EA2F26">
        <w:rPr>
          <w:rFonts w:cs="Calibri"/>
          <w:color w:val="000000"/>
        </w:rPr>
        <w:t>Recreational facilities</w:t>
      </w:r>
    </w:p>
    <w:p w:rsidR="00D02973" w:rsidRPr="00EA2F26" w:rsidRDefault="00D02973" w:rsidP="00D02973">
      <w:pPr>
        <w:pStyle w:val="ListParagraph"/>
        <w:numPr>
          <w:ilvl w:val="0"/>
          <w:numId w:val="21"/>
        </w:numPr>
        <w:autoSpaceDE w:val="0"/>
        <w:autoSpaceDN w:val="0"/>
        <w:adjustRightInd w:val="0"/>
        <w:rPr>
          <w:rFonts w:cs="Calibri"/>
          <w:color w:val="000000"/>
        </w:rPr>
      </w:pPr>
      <w:r w:rsidRPr="00EA2F26">
        <w:rPr>
          <w:rFonts w:cs="Calibri"/>
          <w:color w:val="000000"/>
        </w:rPr>
        <w:t>Arts centres and libraries.</w:t>
      </w:r>
    </w:p>
    <w:p w:rsidR="00D02973" w:rsidRPr="00EA2F26" w:rsidRDefault="00D02973" w:rsidP="00D02973">
      <w:pPr>
        <w:autoSpaceDE w:val="0"/>
        <w:autoSpaceDN w:val="0"/>
        <w:adjustRightInd w:val="0"/>
        <w:rPr>
          <w:rFonts w:cs="Calibri"/>
          <w:color w:val="000000"/>
        </w:rPr>
      </w:pPr>
      <w:r w:rsidRPr="00EA2F26">
        <w:rPr>
          <w:rFonts w:cs="Calibri"/>
          <w:color w:val="000000"/>
        </w:rPr>
        <w:t xml:space="preserve">Figure 1 shows the City’s resident satisfaction rating as reported in the Annual Resident Satisfaction Survey. </w:t>
      </w:r>
      <w:r>
        <w:rPr>
          <w:rFonts w:cs="Calibri"/>
          <w:color w:val="000000"/>
        </w:rPr>
        <w:t>The two aspects relevant to parks and open s</w:t>
      </w:r>
      <w:r w:rsidRPr="00EA2F26">
        <w:rPr>
          <w:rFonts w:cs="Calibri"/>
          <w:color w:val="000000"/>
        </w:rPr>
        <w:t xml:space="preserve">pace management are: </w:t>
      </w:r>
    </w:p>
    <w:p w:rsidR="00D02973" w:rsidRPr="00EA2F26" w:rsidRDefault="00D02973" w:rsidP="00D02973">
      <w:pPr>
        <w:pStyle w:val="ListParagraph"/>
        <w:numPr>
          <w:ilvl w:val="0"/>
          <w:numId w:val="11"/>
        </w:numPr>
        <w:autoSpaceDE w:val="0"/>
        <w:autoSpaceDN w:val="0"/>
        <w:adjustRightInd w:val="0"/>
        <w:rPr>
          <w:rFonts w:cs="Calibri"/>
          <w:color w:val="000000"/>
        </w:rPr>
      </w:pPr>
      <w:r w:rsidRPr="00EA2F26">
        <w:rPr>
          <w:rFonts w:cs="Calibri"/>
          <w:bCs/>
          <w:color w:val="000000"/>
        </w:rPr>
        <w:t xml:space="preserve">Recreational facilities </w:t>
      </w:r>
      <w:r w:rsidRPr="00EA2F26">
        <w:rPr>
          <w:rFonts w:cs="Calibri"/>
          <w:color w:val="000000"/>
        </w:rPr>
        <w:t xml:space="preserve">which includes sporting facilities, swimming pools, sports fields and playgrounds. </w:t>
      </w:r>
    </w:p>
    <w:p w:rsidR="00D02973" w:rsidRPr="00EA2F26" w:rsidRDefault="00D02973" w:rsidP="00D02973">
      <w:pPr>
        <w:pStyle w:val="ListParagraph"/>
        <w:numPr>
          <w:ilvl w:val="0"/>
          <w:numId w:val="11"/>
        </w:numPr>
        <w:autoSpaceDE w:val="0"/>
        <w:autoSpaceDN w:val="0"/>
        <w:adjustRightInd w:val="0"/>
        <w:rPr>
          <w:rFonts w:cs="Calibri"/>
          <w:color w:val="000000"/>
        </w:rPr>
      </w:pPr>
      <w:r>
        <w:rPr>
          <w:rFonts w:cs="Calibri"/>
          <w:bCs/>
          <w:color w:val="000000"/>
        </w:rPr>
        <w:t>Appearance of public a</w:t>
      </w:r>
      <w:r w:rsidRPr="00EA2F26">
        <w:rPr>
          <w:rFonts w:cs="Calibri"/>
          <w:bCs/>
          <w:color w:val="000000"/>
        </w:rPr>
        <w:t xml:space="preserve">reas </w:t>
      </w:r>
      <w:r w:rsidRPr="00EA2F26">
        <w:rPr>
          <w:rFonts w:cs="Calibri"/>
          <w:color w:val="000000"/>
        </w:rPr>
        <w:t xml:space="preserve">which includes local parks and gardens as well as street cleaning and litter collection. </w:t>
      </w:r>
    </w:p>
    <w:p w:rsidR="00D02973" w:rsidRPr="00EA2F26" w:rsidRDefault="00D02973" w:rsidP="00D02973">
      <w:r w:rsidRPr="00EA2F26">
        <w:t xml:space="preserve">Further stakeholder consultation will occur during Strategic Service </w:t>
      </w:r>
      <w:r>
        <w:t>planning</w:t>
      </w:r>
      <w:r w:rsidRPr="00EA2F26">
        <w:t>.</w:t>
      </w:r>
    </w:p>
    <w:p w:rsidR="009A42EB" w:rsidRDefault="009A42EB" w:rsidP="00D02973">
      <w:pPr>
        <w:pStyle w:val="Caption"/>
        <w:spacing w:line="276" w:lineRule="auto"/>
        <w:rPr>
          <w:rFonts w:asciiTheme="minorHAnsi" w:hAnsiTheme="minorHAnsi" w:cs="Calibri"/>
          <w:color w:val="auto"/>
          <w:sz w:val="22"/>
          <w:szCs w:val="22"/>
        </w:rPr>
      </w:pPr>
    </w:p>
    <w:p w:rsidR="009A42EB" w:rsidRDefault="009A42EB" w:rsidP="00D02973">
      <w:pPr>
        <w:pStyle w:val="Caption"/>
        <w:spacing w:line="276" w:lineRule="auto"/>
        <w:rPr>
          <w:rFonts w:asciiTheme="minorHAnsi" w:hAnsiTheme="minorHAnsi" w:cs="Calibri"/>
          <w:color w:val="auto"/>
          <w:sz w:val="22"/>
          <w:szCs w:val="22"/>
        </w:rPr>
      </w:pPr>
    </w:p>
    <w:p w:rsidR="00D02973" w:rsidRDefault="00D02973" w:rsidP="00D02973">
      <w:pPr>
        <w:pStyle w:val="Caption"/>
        <w:spacing w:line="276" w:lineRule="auto"/>
        <w:rPr>
          <w:rFonts w:asciiTheme="minorHAnsi" w:hAnsiTheme="minorHAnsi" w:cs="Calibri"/>
          <w:color w:val="auto"/>
          <w:sz w:val="22"/>
          <w:szCs w:val="22"/>
        </w:rPr>
      </w:pPr>
      <w:r w:rsidRPr="00EA2F26">
        <w:rPr>
          <w:rFonts w:asciiTheme="minorHAnsi" w:hAnsiTheme="minorHAnsi" w:cs="Calibri"/>
          <w:color w:val="auto"/>
          <w:sz w:val="22"/>
          <w:szCs w:val="22"/>
        </w:rPr>
        <w:t>Figure 1: Resident satisfaction survey results, Bayside Annual Resident Satisfaction Survey</w:t>
      </w:r>
    </w:p>
    <w:p w:rsidR="009A42EB" w:rsidRDefault="009A42EB" w:rsidP="009A42EB">
      <w:r>
        <w:rPr>
          <w:noProof/>
          <w:lang w:eastAsia="en-AU"/>
        </w:rPr>
        <w:drawing>
          <wp:inline distT="0" distB="0" distL="0" distR="0" wp14:anchorId="45EE879A" wp14:editId="4C9C906A">
            <wp:extent cx="5732145" cy="2234565"/>
            <wp:effectExtent l="0" t="0" r="1905" b="1333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noProof/>
          <w:lang w:eastAsia="en-AU"/>
        </w:rPr>
        <w:drawing>
          <wp:inline distT="0" distB="0" distL="0" distR="0" wp14:anchorId="579E2098" wp14:editId="65988509">
            <wp:extent cx="5732145" cy="2200275"/>
            <wp:effectExtent l="0" t="0" r="1905"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D45DF" w:rsidRDefault="00D02973" w:rsidP="00D02973">
      <w:r w:rsidRPr="00EA2F26">
        <w:t xml:space="preserve">As indicated in Figure 1, </w:t>
      </w:r>
      <w:r w:rsidR="009D45DF">
        <w:t xml:space="preserve">since 2012 Bayside has performed strongly against the state average in both the performance of recreation facilities and the appearance of public areas. In both categories customers were most satisfied in 2014, and there has been a slight reduction in the following years. </w:t>
      </w:r>
      <w:r w:rsidR="000B0E06">
        <w:t xml:space="preserve">Those with lower satisfaction ratings tend to be men and those aged between 35 and 64. </w:t>
      </w:r>
    </w:p>
    <w:p w:rsidR="00D02973" w:rsidRPr="00EA2F26" w:rsidRDefault="00D02973" w:rsidP="00D02973">
      <w:pPr>
        <w:rPr>
          <w:b/>
        </w:rPr>
      </w:pPr>
      <w:r w:rsidRPr="00EA2F26">
        <w:t>Stakeholder expectations relating to recreation and open space assets may vary depending on the location, nature and use of the particular asset group. Each Strategic Service Management Plan will identify particular stakeholder expectations and adopt specific Levels of Service for that asset group.</w:t>
      </w:r>
    </w:p>
    <w:p w:rsidR="00D02973" w:rsidRPr="00EA2F26" w:rsidRDefault="00D02973" w:rsidP="00D02973">
      <w:pPr>
        <w:pStyle w:val="Heading3"/>
        <w:spacing w:after="200"/>
        <w:rPr>
          <w:rFonts w:asciiTheme="minorHAnsi" w:hAnsiTheme="minorHAnsi"/>
          <w:color w:val="808080" w:themeColor="background1" w:themeShade="80"/>
        </w:rPr>
      </w:pPr>
      <w:bookmarkStart w:id="21" w:name="_Toc448475178"/>
      <w:r w:rsidRPr="00EA2F26">
        <w:rPr>
          <w:rFonts w:asciiTheme="minorHAnsi" w:hAnsiTheme="minorHAnsi"/>
          <w:color w:val="808080" w:themeColor="background1" w:themeShade="80"/>
        </w:rPr>
        <w:t xml:space="preserve">2.4.2 </w:t>
      </w:r>
      <w:r>
        <w:rPr>
          <w:rFonts w:asciiTheme="minorHAnsi" w:hAnsiTheme="minorHAnsi"/>
          <w:color w:val="808080" w:themeColor="background1" w:themeShade="80"/>
        </w:rPr>
        <w:tab/>
      </w:r>
      <w:r w:rsidRPr="00EA2F26">
        <w:rPr>
          <w:rFonts w:asciiTheme="minorHAnsi" w:hAnsiTheme="minorHAnsi"/>
          <w:color w:val="808080" w:themeColor="background1" w:themeShade="80"/>
        </w:rPr>
        <w:t>Technical LOS</w:t>
      </w:r>
      <w:bookmarkEnd w:id="21"/>
    </w:p>
    <w:p w:rsidR="00D02973" w:rsidRDefault="00D02973" w:rsidP="00D02973">
      <w:pPr>
        <w:autoSpaceDE w:val="0"/>
        <w:autoSpaceDN w:val="0"/>
        <w:adjustRightInd w:val="0"/>
        <w:rPr>
          <w:rFonts w:cs="Calibri"/>
          <w:color w:val="000000"/>
        </w:rPr>
      </w:pPr>
      <w:r w:rsidRPr="00EA2F26">
        <w:rPr>
          <w:rFonts w:cs="Calibri"/>
          <w:color w:val="000000"/>
        </w:rPr>
        <w:t>Technical Levels of Service include the parameters to assess the required function covering technical aspects including function, design, applicable standards and any statutory requirements. The Technical Service Standards are aligned with:</w:t>
      </w:r>
    </w:p>
    <w:p w:rsidR="009A42EB" w:rsidRPr="00EA2F26" w:rsidRDefault="009A42EB" w:rsidP="00D02973">
      <w:pPr>
        <w:autoSpaceDE w:val="0"/>
        <w:autoSpaceDN w:val="0"/>
        <w:adjustRightInd w:val="0"/>
        <w:rPr>
          <w:rFonts w:cs="Calibri"/>
          <w:color w:val="00000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4394"/>
      </w:tblGrid>
      <w:tr w:rsidR="00D02973" w:rsidRPr="00EA2F26" w:rsidTr="00DF2FAC">
        <w:tc>
          <w:tcPr>
            <w:tcW w:w="2552" w:type="dxa"/>
          </w:tcPr>
          <w:p w:rsidR="00D02973" w:rsidRPr="00EA2F26" w:rsidRDefault="00D02973" w:rsidP="00D02973">
            <w:pPr>
              <w:pStyle w:val="ListParagraph"/>
              <w:numPr>
                <w:ilvl w:val="0"/>
                <w:numId w:val="19"/>
              </w:numPr>
              <w:spacing w:after="0"/>
              <w:rPr>
                <w:b/>
              </w:rPr>
            </w:pPr>
            <w:r w:rsidRPr="00EA2F26">
              <w:lastRenderedPageBreak/>
              <w:t>Quality</w:t>
            </w:r>
          </w:p>
          <w:p w:rsidR="00D02973" w:rsidRPr="00EA2F26" w:rsidRDefault="00D02973" w:rsidP="00D02973">
            <w:pPr>
              <w:pStyle w:val="ListParagraph"/>
              <w:numPr>
                <w:ilvl w:val="0"/>
                <w:numId w:val="19"/>
              </w:numPr>
              <w:spacing w:after="0"/>
              <w:rPr>
                <w:b/>
              </w:rPr>
            </w:pPr>
            <w:r w:rsidRPr="00EA2F26">
              <w:t>Aesthetics</w:t>
            </w:r>
          </w:p>
          <w:p w:rsidR="00D02973" w:rsidRPr="00EA2F26" w:rsidRDefault="00D02973" w:rsidP="00D02973">
            <w:pPr>
              <w:pStyle w:val="ListParagraph"/>
              <w:numPr>
                <w:ilvl w:val="0"/>
                <w:numId w:val="19"/>
              </w:numPr>
              <w:spacing w:after="0"/>
              <w:rPr>
                <w:b/>
              </w:rPr>
            </w:pPr>
            <w:r w:rsidRPr="00EA2F26">
              <w:t>Quantity</w:t>
            </w:r>
          </w:p>
          <w:p w:rsidR="00D02973" w:rsidRPr="00EA2F26" w:rsidRDefault="00D02973" w:rsidP="00D02973">
            <w:pPr>
              <w:pStyle w:val="ListParagraph"/>
              <w:numPr>
                <w:ilvl w:val="0"/>
                <w:numId w:val="19"/>
              </w:numPr>
              <w:spacing w:after="0"/>
              <w:rPr>
                <w:b/>
              </w:rPr>
            </w:pPr>
            <w:r w:rsidRPr="00EA2F26">
              <w:t>Reliability</w:t>
            </w:r>
          </w:p>
          <w:p w:rsidR="00D02973" w:rsidRPr="00EA2F26" w:rsidRDefault="00D02973" w:rsidP="00D02973">
            <w:pPr>
              <w:pStyle w:val="ListParagraph"/>
              <w:numPr>
                <w:ilvl w:val="0"/>
                <w:numId w:val="19"/>
              </w:numPr>
              <w:spacing w:after="0"/>
              <w:rPr>
                <w:b/>
              </w:rPr>
            </w:pPr>
            <w:r w:rsidRPr="00EA2F26">
              <w:t>Safety</w:t>
            </w:r>
          </w:p>
          <w:p w:rsidR="00D02973" w:rsidRPr="00EA2F26" w:rsidRDefault="00D02973" w:rsidP="00DF2FAC">
            <w:pPr>
              <w:rPr>
                <w:b/>
              </w:rPr>
            </w:pPr>
          </w:p>
        </w:tc>
        <w:tc>
          <w:tcPr>
            <w:tcW w:w="4394" w:type="dxa"/>
          </w:tcPr>
          <w:p w:rsidR="00D02973" w:rsidRPr="00EA2F26" w:rsidRDefault="00D02973" w:rsidP="00D02973">
            <w:pPr>
              <w:pStyle w:val="ListParagraph"/>
              <w:numPr>
                <w:ilvl w:val="0"/>
                <w:numId w:val="19"/>
              </w:numPr>
              <w:spacing w:after="0"/>
              <w:rPr>
                <w:b/>
              </w:rPr>
            </w:pPr>
            <w:r w:rsidRPr="00EA2F26">
              <w:t>Responsiveness</w:t>
            </w:r>
          </w:p>
          <w:p w:rsidR="00D02973" w:rsidRPr="00EA2F26" w:rsidRDefault="00D02973" w:rsidP="00D02973">
            <w:pPr>
              <w:pStyle w:val="ListParagraph"/>
              <w:numPr>
                <w:ilvl w:val="0"/>
                <w:numId w:val="19"/>
              </w:numPr>
              <w:spacing w:after="0"/>
              <w:rPr>
                <w:b/>
              </w:rPr>
            </w:pPr>
            <w:r w:rsidRPr="00EA2F26">
              <w:t>Capacity</w:t>
            </w:r>
          </w:p>
          <w:p w:rsidR="00D02973" w:rsidRPr="00EA2F26" w:rsidRDefault="00D02973" w:rsidP="00D02973">
            <w:pPr>
              <w:pStyle w:val="ListParagraph"/>
              <w:numPr>
                <w:ilvl w:val="0"/>
                <w:numId w:val="19"/>
              </w:numPr>
              <w:spacing w:after="0"/>
              <w:rPr>
                <w:b/>
              </w:rPr>
            </w:pPr>
            <w:r w:rsidRPr="00EA2F26">
              <w:t>Environmental acceptability</w:t>
            </w:r>
          </w:p>
          <w:p w:rsidR="00D02973" w:rsidRPr="00EA2F26" w:rsidRDefault="00D02973" w:rsidP="00D02973">
            <w:pPr>
              <w:pStyle w:val="ListParagraph"/>
              <w:numPr>
                <w:ilvl w:val="0"/>
                <w:numId w:val="19"/>
              </w:numPr>
              <w:spacing w:after="0"/>
              <w:rPr>
                <w:b/>
              </w:rPr>
            </w:pPr>
            <w:r w:rsidRPr="00EA2F26">
              <w:t>Fitness for purpose</w:t>
            </w:r>
          </w:p>
          <w:p w:rsidR="00D02973" w:rsidRPr="00EA2F26" w:rsidRDefault="00D02973" w:rsidP="00D02973">
            <w:pPr>
              <w:pStyle w:val="ListParagraph"/>
              <w:numPr>
                <w:ilvl w:val="0"/>
                <w:numId w:val="19"/>
              </w:numPr>
              <w:spacing w:after="0"/>
              <w:rPr>
                <w:b/>
              </w:rPr>
            </w:pPr>
            <w:r w:rsidRPr="00EA2F26">
              <w:t>Costs</w:t>
            </w:r>
          </w:p>
          <w:p w:rsidR="00D02973" w:rsidRPr="00EA2F26" w:rsidRDefault="00D02973" w:rsidP="00DF2FAC">
            <w:pPr>
              <w:rPr>
                <w:b/>
              </w:rPr>
            </w:pPr>
          </w:p>
        </w:tc>
      </w:tr>
    </w:tbl>
    <w:p w:rsidR="00D02973" w:rsidRPr="00EA2F26" w:rsidRDefault="00D02973" w:rsidP="00D02973">
      <w:pPr>
        <w:rPr>
          <w:rFonts w:cs="Calibri"/>
          <w:color w:val="000000"/>
        </w:rPr>
      </w:pPr>
      <w:r w:rsidRPr="00EA2F26">
        <w:rPr>
          <w:rFonts w:cs="Calibri"/>
          <w:color w:val="000000"/>
        </w:rPr>
        <w:t>The Technical Service Standards describe the usage, renewal, maintenance and operational criteria under the categories of function, design and presentation/amenity for the various recreation and open space assets.</w:t>
      </w:r>
    </w:p>
    <w:p w:rsidR="00D02973" w:rsidRPr="00EA2F26" w:rsidRDefault="00D02973" w:rsidP="00D02973">
      <w:pPr>
        <w:pStyle w:val="CTAMPBody"/>
        <w:spacing w:after="200" w:line="276" w:lineRule="auto"/>
        <w:rPr>
          <w:rFonts w:asciiTheme="minorHAnsi" w:eastAsiaTheme="minorHAnsi" w:hAnsiTheme="minorHAnsi" w:cstheme="minorBidi"/>
          <w:sz w:val="22"/>
          <w:szCs w:val="22"/>
        </w:rPr>
      </w:pPr>
      <w:r w:rsidRPr="00EA2F26">
        <w:rPr>
          <w:rFonts w:asciiTheme="minorHAnsi" w:eastAsiaTheme="minorHAnsi" w:hAnsiTheme="minorHAnsi" w:cstheme="minorBidi"/>
          <w:sz w:val="22"/>
          <w:szCs w:val="22"/>
        </w:rPr>
        <w:t xml:space="preserve">As part of the development of Asset Upgrade Strategies, an assessment will be undertaken to identify deficiencies in service levels and/or non-compliance with generally accepted standards.  </w:t>
      </w:r>
    </w:p>
    <w:p w:rsidR="00D02973" w:rsidRPr="00EA2F26" w:rsidRDefault="00D02973" w:rsidP="00D02973">
      <w:pPr>
        <w:pStyle w:val="CTAMPBody"/>
        <w:spacing w:after="200" w:line="276" w:lineRule="auto"/>
        <w:rPr>
          <w:rFonts w:asciiTheme="minorHAnsi" w:eastAsiaTheme="minorHAnsi" w:hAnsiTheme="minorHAnsi" w:cstheme="minorBidi"/>
          <w:sz w:val="22"/>
          <w:szCs w:val="22"/>
        </w:rPr>
      </w:pPr>
      <w:r w:rsidRPr="00EA2F26">
        <w:rPr>
          <w:rFonts w:asciiTheme="minorHAnsi" w:eastAsiaTheme="minorHAnsi" w:hAnsiTheme="minorHAnsi" w:cstheme="minorBidi"/>
          <w:sz w:val="22"/>
          <w:szCs w:val="22"/>
        </w:rPr>
        <w:t>The intention is that recreation and open space assets not currently meeting the target specification or level of service standards will be upgraded or reconstructed to the target level where practicable (when the program allocates funding against that need or other development occurs within the network) or when dictated by legislation.</w:t>
      </w:r>
    </w:p>
    <w:p w:rsidR="00D02973" w:rsidRPr="00EA2F26" w:rsidRDefault="00D02973" w:rsidP="00D02973">
      <w:pPr>
        <w:pStyle w:val="CTAMPBody"/>
        <w:spacing w:after="200" w:line="276" w:lineRule="auto"/>
        <w:rPr>
          <w:rFonts w:asciiTheme="minorHAnsi" w:eastAsiaTheme="minorHAnsi" w:hAnsiTheme="minorHAnsi" w:cstheme="minorBidi"/>
          <w:sz w:val="22"/>
          <w:szCs w:val="22"/>
        </w:rPr>
      </w:pPr>
      <w:r w:rsidRPr="00EA2F26">
        <w:rPr>
          <w:rFonts w:asciiTheme="minorHAnsi" w:eastAsiaTheme="minorHAnsi" w:hAnsiTheme="minorHAnsi" w:cstheme="minorBidi"/>
          <w:sz w:val="22"/>
          <w:szCs w:val="22"/>
        </w:rPr>
        <w:t xml:space="preserve">Where there are specific needs/funding opportunities, the </w:t>
      </w:r>
      <w:r>
        <w:rPr>
          <w:rFonts w:asciiTheme="minorHAnsi" w:eastAsiaTheme="minorHAnsi" w:hAnsiTheme="minorHAnsi" w:cstheme="minorBidi"/>
          <w:sz w:val="22"/>
          <w:szCs w:val="22"/>
        </w:rPr>
        <w:t>Council</w:t>
      </w:r>
      <w:r w:rsidRPr="00EA2F26">
        <w:rPr>
          <w:rFonts w:asciiTheme="minorHAnsi" w:eastAsiaTheme="minorHAnsi" w:hAnsiTheme="minorHAnsi" w:cstheme="minorBidi"/>
          <w:sz w:val="22"/>
          <w:szCs w:val="22"/>
        </w:rPr>
        <w:t xml:space="preserve"> may deem it important to exceed the standard specifications to improve such things as functionality, safety, accessibility, providing that funding can be sourced for that change.</w:t>
      </w:r>
    </w:p>
    <w:p w:rsidR="00D02973" w:rsidRPr="00EA2F26" w:rsidRDefault="00D02973" w:rsidP="00D02973">
      <w:pPr>
        <w:pStyle w:val="CTAMPBody"/>
        <w:spacing w:after="200" w:line="276" w:lineRule="auto"/>
        <w:rPr>
          <w:rFonts w:asciiTheme="minorHAnsi" w:eastAsiaTheme="minorHAnsi" w:hAnsiTheme="minorHAnsi" w:cstheme="minorBidi"/>
          <w:sz w:val="22"/>
          <w:szCs w:val="22"/>
        </w:rPr>
      </w:pPr>
      <w:r w:rsidRPr="00EA2F26">
        <w:rPr>
          <w:rFonts w:asciiTheme="minorHAnsi" w:eastAsiaTheme="minorHAnsi" w:hAnsiTheme="minorHAnsi" w:cstheme="minorBidi"/>
          <w:sz w:val="22"/>
          <w:szCs w:val="22"/>
        </w:rPr>
        <w:t xml:space="preserve">Apart from those asset categories where </w:t>
      </w:r>
      <w:r>
        <w:rPr>
          <w:rFonts w:asciiTheme="minorHAnsi" w:eastAsiaTheme="minorHAnsi" w:hAnsiTheme="minorHAnsi" w:cstheme="minorBidi"/>
          <w:sz w:val="22"/>
          <w:szCs w:val="22"/>
        </w:rPr>
        <w:t>Council</w:t>
      </w:r>
      <w:r w:rsidRPr="00EA2F26">
        <w:rPr>
          <w:rFonts w:asciiTheme="minorHAnsi" w:eastAsiaTheme="minorHAnsi" w:hAnsiTheme="minorHAnsi" w:cstheme="minorBidi"/>
          <w:sz w:val="22"/>
          <w:szCs w:val="22"/>
        </w:rPr>
        <w:t xml:space="preserve"> has adopted an upgrade strategy it is reasonable to conclude that the condition of the recreation and open space asset stock and current levels of service are aligned and consistent with community needs.  It is also reasonable to conclude that in the absence of a demonstration of demand from the broader community for new and upgraded recreational and open space facilities, that the current and desired levels of service are also relatively closely aligned. However, the absence of Asset Upgrade Strategies for all </w:t>
      </w:r>
      <w:r>
        <w:rPr>
          <w:rFonts w:asciiTheme="minorHAnsi" w:eastAsiaTheme="minorHAnsi" w:hAnsiTheme="minorHAnsi" w:cstheme="minorBidi"/>
          <w:sz w:val="22"/>
          <w:szCs w:val="22"/>
        </w:rPr>
        <w:t>Council</w:t>
      </w:r>
      <w:r w:rsidRPr="00EA2F26">
        <w:rPr>
          <w:rFonts w:asciiTheme="minorHAnsi" w:eastAsiaTheme="minorHAnsi" w:hAnsiTheme="minorHAnsi" w:cstheme="minorBidi"/>
          <w:sz w:val="22"/>
          <w:szCs w:val="22"/>
        </w:rPr>
        <w:t>’s services represents an ‘unknown’ with regard to condition, levels of service and the meeting of community needs without the required data and evidence to support these assumptions.</w:t>
      </w:r>
    </w:p>
    <w:p w:rsidR="00D02973" w:rsidRPr="00EA2F26" w:rsidRDefault="00D02973" w:rsidP="00D02973">
      <w:pPr>
        <w:pStyle w:val="CTAMPBody"/>
        <w:spacing w:after="200" w:line="276" w:lineRule="auto"/>
        <w:rPr>
          <w:rFonts w:asciiTheme="minorHAnsi" w:eastAsiaTheme="minorHAnsi" w:hAnsiTheme="minorHAnsi" w:cstheme="minorBidi"/>
          <w:sz w:val="22"/>
          <w:szCs w:val="22"/>
        </w:rPr>
      </w:pPr>
      <w:r w:rsidRPr="00EA2F26">
        <w:rPr>
          <w:rFonts w:asciiTheme="minorHAnsi" w:hAnsiTheme="minorHAnsi" w:cs="Calibri"/>
          <w:sz w:val="22"/>
          <w:szCs w:val="22"/>
        </w:rPr>
        <w:t xml:space="preserve">It is noted that community need has different spatial notions – state, region, municipal and local neighbourhood (suburb). Ideally, </w:t>
      </w:r>
      <w:r>
        <w:rPr>
          <w:rFonts w:asciiTheme="minorHAnsi" w:hAnsiTheme="minorHAnsi" w:cs="Calibri"/>
          <w:sz w:val="22"/>
          <w:szCs w:val="22"/>
        </w:rPr>
        <w:t>Council</w:t>
      </w:r>
      <w:r w:rsidRPr="00EA2F26">
        <w:rPr>
          <w:rFonts w:asciiTheme="minorHAnsi" w:hAnsiTheme="minorHAnsi" w:cs="Calibri"/>
          <w:sz w:val="22"/>
          <w:szCs w:val="22"/>
        </w:rPr>
        <w:t xml:space="preserve"> needs to develop neighbourhood or place-based strategies that articulate ‘community need’ at the neighbourhood/suburb level to ensure the use of the asset stock is opportunistic and integrated where services are consolidated, multi-use occurs, cost savings are maximised and usage is optimised. Such place-based strategies are required to be cross referenced with Asset Upgrade Strategies when available (refer Improvement Plan).</w:t>
      </w:r>
    </w:p>
    <w:p w:rsidR="00D02973" w:rsidRPr="00EA2F26" w:rsidRDefault="00D02973" w:rsidP="00D02973">
      <w:pPr>
        <w:pStyle w:val="Heading3"/>
        <w:spacing w:after="200"/>
        <w:rPr>
          <w:rFonts w:asciiTheme="minorHAnsi" w:hAnsiTheme="minorHAnsi"/>
          <w:color w:val="808080" w:themeColor="background1" w:themeShade="80"/>
        </w:rPr>
      </w:pPr>
      <w:bookmarkStart w:id="22" w:name="_Toc448475179"/>
      <w:r w:rsidRPr="00EA2F26">
        <w:rPr>
          <w:rFonts w:asciiTheme="minorHAnsi" w:hAnsiTheme="minorHAnsi"/>
          <w:color w:val="808080" w:themeColor="background1" w:themeShade="80"/>
        </w:rPr>
        <w:t xml:space="preserve">2.4.3 </w:t>
      </w:r>
      <w:r>
        <w:rPr>
          <w:rFonts w:asciiTheme="minorHAnsi" w:hAnsiTheme="minorHAnsi"/>
          <w:color w:val="808080" w:themeColor="background1" w:themeShade="80"/>
        </w:rPr>
        <w:tab/>
      </w:r>
      <w:r w:rsidRPr="00EA2F26">
        <w:rPr>
          <w:rFonts w:asciiTheme="minorHAnsi" w:hAnsiTheme="minorHAnsi"/>
          <w:color w:val="808080" w:themeColor="background1" w:themeShade="80"/>
        </w:rPr>
        <w:t>Maintenance Service Levels</w:t>
      </w:r>
      <w:bookmarkEnd w:id="22"/>
      <w:r w:rsidRPr="00EA2F26">
        <w:rPr>
          <w:rFonts w:asciiTheme="minorHAnsi" w:hAnsiTheme="minorHAnsi"/>
          <w:color w:val="808080" w:themeColor="background1" w:themeShade="80"/>
        </w:rPr>
        <w:t xml:space="preserve"> </w:t>
      </w:r>
    </w:p>
    <w:p w:rsidR="00D02973" w:rsidRPr="00EA2F26" w:rsidRDefault="00D02973" w:rsidP="00D02973">
      <w:pPr>
        <w:autoSpaceDE w:val="0"/>
        <w:autoSpaceDN w:val="0"/>
        <w:adjustRightInd w:val="0"/>
        <w:rPr>
          <w:rFonts w:cs="Calibri"/>
        </w:rPr>
      </w:pPr>
      <w:r>
        <w:rPr>
          <w:rFonts w:cs="Calibri"/>
        </w:rPr>
        <w:t>Council</w:t>
      </w:r>
      <w:r w:rsidRPr="00EA2F26">
        <w:rPr>
          <w:rFonts w:cs="Calibri"/>
        </w:rPr>
        <w:t xml:space="preserve"> provides </w:t>
      </w:r>
      <w:r>
        <w:rPr>
          <w:rFonts w:cs="Calibri"/>
        </w:rPr>
        <w:t xml:space="preserve">open </w:t>
      </w:r>
      <w:r w:rsidRPr="00EA2F26">
        <w:rPr>
          <w:rFonts w:cs="Calibri"/>
        </w:rPr>
        <w:t xml:space="preserve">space asset maintenance </w:t>
      </w:r>
      <w:r>
        <w:rPr>
          <w:rFonts w:cs="Calibri"/>
        </w:rPr>
        <w:t>externally, through an open space maintenance contract</w:t>
      </w:r>
      <w:r w:rsidRPr="00EA2F26">
        <w:rPr>
          <w:rFonts w:cs="Calibri"/>
        </w:rPr>
        <w:t xml:space="preserve">. These contracts set out the technical levels of service to be provided. </w:t>
      </w:r>
      <w:r>
        <w:t xml:space="preserve">The current </w:t>
      </w:r>
      <w:r w:rsidRPr="00EA2F26">
        <w:t xml:space="preserve">contract period </w:t>
      </w:r>
      <w:r>
        <w:t>expires in 2019</w:t>
      </w:r>
      <w:r w:rsidRPr="00EA2F26">
        <w:t>. The contract specifies levels of service to be provided.</w:t>
      </w:r>
    </w:p>
    <w:p w:rsidR="00D02973" w:rsidRPr="00EA2F26" w:rsidRDefault="00D02973" w:rsidP="00D02973">
      <w:pPr>
        <w:autoSpaceDE w:val="0"/>
        <w:autoSpaceDN w:val="0"/>
        <w:adjustRightInd w:val="0"/>
        <w:rPr>
          <w:rFonts w:cs="Calibri"/>
        </w:rPr>
      </w:pPr>
      <w:r w:rsidRPr="00EA2F26">
        <w:rPr>
          <w:rFonts w:cs="Calibri"/>
        </w:rPr>
        <w:t xml:space="preserve">The service objectives in the specification of the maintenance Contracts include: </w:t>
      </w:r>
    </w:p>
    <w:p w:rsidR="00D02973" w:rsidRPr="00EA2F26" w:rsidRDefault="00D02973" w:rsidP="00D02973">
      <w:pPr>
        <w:pStyle w:val="ListParagraph"/>
        <w:numPr>
          <w:ilvl w:val="0"/>
          <w:numId w:val="20"/>
        </w:numPr>
        <w:autoSpaceDE w:val="0"/>
        <w:autoSpaceDN w:val="0"/>
        <w:adjustRightInd w:val="0"/>
        <w:rPr>
          <w:rFonts w:cs="Calibri"/>
        </w:rPr>
      </w:pPr>
      <w:r w:rsidRPr="00EA2F26">
        <w:rPr>
          <w:rFonts w:cs="Calibri"/>
        </w:rPr>
        <w:lastRenderedPageBreak/>
        <w:t xml:space="preserve">provide safe, effective and affordable assets within the municipality; </w:t>
      </w:r>
    </w:p>
    <w:p w:rsidR="00D02973" w:rsidRPr="00EA2F26" w:rsidRDefault="00D02973" w:rsidP="00D02973">
      <w:pPr>
        <w:pStyle w:val="ListParagraph"/>
        <w:numPr>
          <w:ilvl w:val="0"/>
          <w:numId w:val="20"/>
        </w:numPr>
        <w:autoSpaceDE w:val="0"/>
        <w:autoSpaceDN w:val="0"/>
        <w:adjustRightInd w:val="0"/>
        <w:rPr>
          <w:rFonts w:cs="Calibri"/>
        </w:rPr>
      </w:pPr>
      <w:r w:rsidRPr="00EA2F26">
        <w:rPr>
          <w:rFonts w:cs="Calibri"/>
        </w:rPr>
        <w:t xml:space="preserve">prolong the life of </w:t>
      </w:r>
      <w:r>
        <w:rPr>
          <w:rFonts w:cs="Calibri"/>
        </w:rPr>
        <w:t>Council</w:t>
      </w:r>
      <w:r w:rsidRPr="00EA2F26">
        <w:rPr>
          <w:rFonts w:cs="Calibri"/>
        </w:rPr>
        <w:t xml:space="preserve">’s assets; </w:t>
      </w:r>
    </w:p>
    <w:p w:rsidR="00D02973" w:rsidRPr="00EA2F26" w:rsidRDefault="00D02973" w:rsidP="00D02973">
      <w:pPr>
        <w:pStyle w:val="ListParagraph"/>
        <w:numPr>
          <w:ilvl w:val="0"/>
          <w:numId w:val="20"/>
        </w:numPr>
        <w:autoSpaceDE w:val="0"/>
        <w:autoSpaceDN w:val="0"/>
        <w:adjustRightInd w:val="0"/>
        <w:rPr>
          <w:rFonts w:cs="Calibri"/>
        </w:rPr>
      </w:pPr>
      <w:r w:rsidRPr="00EA2F26">
        <w:rPr>
          <w:rFonts w:cs="Calibri"/>
        </w:rPr>
        <w:t xml:space="preserve">develop an effective partnering relationship with the Contractor; </w:t>
      </w:r>
    </w:p>
    <w:p w:rsidR="00D02973" w:rsidRPr="00EA2F26" w:rsidRDefault="00D02973" w:rsidP="00D02973">
      <w:pPr>
        <w:pStyle w:val="ListParagraph"/>
        <w:numPr>
          <w:ilvl w:val="0"/>
          <w:numId w:val="20"/>
        </w:numPr>
        <w:autoSpaceDE w:val="0"/>
        <w:autoSpaceDN w:val="0"/>
        <w:adjustRightInd w:val="0"/>
        <w:rPr>
          <w:rFonts w:cs="Calibri"/>
        </w:rPr>
      </w:pPr>
      <w:r w:rsidRPr="00EA2F26">
        <w:rPr>
          <w:rFonts w:cs="Calibri"/>
        </w:rPr>
        <w:t xml:space="preserve">minimise the risk to public safety; </w:t>
      </w:r>
    </w:p>
    <w:p w:rsidR="00D02973" w:rsidRPr="00EA2F26" w:rsidRDefault="00D02973" w:rsidP="00D02973">
      <w:pPr>
        <w:pStyle w:val="ListParagraph"/>
        <w:numPr>
          <w:ilvl w:val="0"/>
          <w:numId w:val="20"/>
        </w:numPr>
        <w:autoSpaceDE w:val="0"/>
        <w:autoSpaceDN w:val="0"/>
        <w:adjustRightInd w:val="0"/>
        <w:rPr>
          <w:rFonts w:cs="Calibri"/>
        </w:rPr>
      </w:pPr>
      <w:r w:rsidRPr="00EA2F26">
        <w:rPr>
          <w:rFonts w:cs="Calibri"/>
        </w:rPr>
        <w:t xml:space="preserve">minimise </w:t>
      </w:r>
      <w:r>
        <w:rPr>
          <w:rFonts w:cs="Calibri"/>
        </w:rPr>
        <w:t>Council</w:t>
      </w:r>
      <w:r w:rsidRPr="00EA2F26">
        <w:rPr>
          <w:rFonts w:cs="Calibri"/>
        </w:rPr>
        <w:t xml:space="preserve"> exposure to public liability or service failure through the effective management of services and assets; </w:t>
      </w:r>
    </w:p>
    <w:p w:rsidR="00D02973" w:rsidRPr="00EA2F26" w:rsidRDefault="00D02973" w:rsidP="00D02973">
      <w:pPr>
        <w:pStyle w:val="ListParagraph"/>
        <w:numPr>
          <w:ilvl w:val="0"/>
          <w:numId w:val="20"/>
        </w:numPr>
        <w:autoSpaceDE w:val="0"/>
        <w:autoSpaceDN w:val="0"/>
        <w:adjustRightInd w:val="0"/>
        <w:rPr>
          <w:rFonts w:cs="Calibri"/>
        </w:rPr>
      </w:pPr>
      <w:r w:rsidRPr="00EA2F26">
        <w:rPr>
          <w:rFonts w:cs="Calibri"/>
        </w:rPr>
        <w:t xml:space="preserve">ensure ratepayers and service users are well satisfied with these aspects of </w:t>
      </w:r>
      <w:r>
        <w:rPr>
          <w:rFonts w:cs="Calibri"/>
        </w:rPr>
        <w:t>Council</w:t>
      </w:r>
      <w:r w:rsidRPr="00EA2F26">
        <w:rPr>
          <w:rFonts w:cs="Calibri"/>
        </w:rPr>
        <w:t xml:space="preserve">’s service delivery; </w:t>
      </w:r>
    </w:p>
    <w:p w:rsidR="00D02973" w:rsidRPr="00EA2F26" w:rsidRDefault="00D02973" w:rsidP="00D02973">
      <w:pPr>
        <w:pStyle w:val="ListParagraph"/>
        <w:numPr>
          <w:ilvl w:val="0"/>
          <w:numId w:val="20"/>
        </w:numPr>
        <w:autoSpaceDE w:val="0"/>
        <w:autoSpaceDN w:val="0"/>
        <w:adjustRightInd w:val="0"/>
        <w:rPr>
          <w:rFonts w:cs="Calibri"/>
        </w:rPr>
      </w:pPr>
      <w:r w:rsidRPr="00EA2F26">
        <w:rPr>
          <w:rFonts w:cs="Calibri"/>
        </w:rPr>
        <w:t xml:space="preserve">maintain and enhance the aesthetic value of the municipality; and </w:t>
      </w:r>
    </w:p>
    <w:p w:rsidR="00D02973" w:rsidRPr="00947901" w:rsidRDefault="00D02973" w:rsidP="00D02973">
      <w:pPr>
        <w:pStyle w:val="ListParagraph"/>
        <w:numPr>
          <w:ilvl w:val="0"/>
          <w:numId w:val="20"/>
        </w:numPr>
        <w:autoSpaceDE w:val="0"/>
        <w:autoSpaceDN w:val="0"/>
        <w:adjustRightInd w:val="0"/>
        <w:rPr>
          <w:rFonts w:cs="Calibri"/>
        </w:rPr>
      </w:pPr>
      <w:r w:rsidRPr="00EA2F26">
        <w:rPr>
          <w:rFonts w:cs="Calibri"/>
        </w:rPr>
        <w:t xml:space="preserve">allowing for technological and other service improvement over the Contract Period. </w:t>
      </w:r>
    </w:p>
    <w:p w:rsidR="00D02973" w:rsidRPr="00EA2F26" w:rsidRDefault="00D02973" w:rsidP="00D02973">
      <w:pPr>
        <w:autoSpaceDE w:val="0"/>
        <w:autoSpaceDN w:val="0"/>
        <w:adjustRightInd w:val="0"/>
        <w:rPr>
          <w:rFonts w:cs="Arial"/>
        </w:rPr>
      </w:pPr>
      <w:r>
        <w:rPr>
          <w:rFonts w:cs="Calibri"/>
        </w:rPr>
        <w:t>The r</w:t>
      </w:r>
      <w:r w:rsidRPr="00EA2F26">
        <w:rPr>
          <w:rFonts w:cs="Calibri"/>
        </w:rPr>
        <w:t>ecreation and open s</w:t>
      </w:r>
      <w:r>
        <w:rPr>
          <w:rFonts w:cs="Calibri"/>
        </w:rPr>
        <w:t>pace maintenance services c</w:t>
      </w:r>
      <w:r w:rsidRPr="00EA2F26">
        <w:rPr>
          <w:rFonts w:cs="Calibri"/>
        </w:rPr>
        <w:t>ont</w:t>
      </w:r>
      <w:r>
        <w:rPr>
          <w:rFonts w:cs="Calibri"/>
        </w:rPr>
        <w:t>ract</w:t>
      </w:r>
      <w:r w:rsidRPr="00EA2F26">
        <w:rPr>
          <w:rFonts w:cs="Calibri"/>
        </w:rPr>
        <w:t xml:space="preserve"> specifies performance criteria with respect to maintenance requests. Appendix 1 shows response times for recreation and open spaces categories as specified in the </w:t>
      </w:r>
      <w:r w:rsidRPr="00EA2F26">
        <w:rPr>
          <w:rFonts w:cs="Arial"/>
        </w:rPr>
        <w:t xml:space="preserve">Contract. It should be noted that in instances where requests relate to periodic maintenance, future renewal or upgrade works, these works requested may be delayed and prioritised for inclusion in annual works program or for consideration at budget time. </w:t>
      </w:r>
    </w:p>
    <w:p w:rsidR="00D02973" w:rsidRPr="00EA2F26" w:rsidRDefault="00D02973" w:rsidP="00D02973">
      <w:pPr>
        <w:autoSpaceDE w:val="0"/>
        <w:autoSpaceDN w:val="0"/>
        <w:adjustRightInd w:val="0"/>
        <w:rPr>
          <w:rFonts w:cs="Arial"/>
        </w:rPr>
      </w:pPr>
      <w:r w:rsidRPr="00EA2F26">
        <w:rPr>
          <w:rFonts w:cs="Arial"/>
        </w:rPr>
        <w:t xml:space="preserve">It is also stated in the maintenance contract that the performance targets for compliance to the above response times for service requests is to </w:t>
      </w:r>
      <w:r>
        <w:rPr>
          <w:rFonts w:cs="Arial"/>
        </w:rPr>
        <w:t>be 90% and testing of this is required</w:t>
      </w:r>
      <w:r w:rsidRPr="00EA2F26">
        <w:rPr>
          <w:rFonts w:cs="Arial"/>
        </w:rPr>
        <w:t xml:space="preserve"> on a regular basis. </w:t>
      </w:r>
    </w:p>
    <w:p w:rsidR="00D02973" w:rsidRPr="00DF2FAC" w:rsidRDefault="00D02973" w:rsidP="00D02973">
      <w:pPr>
        <w:pStyle w:val="Heading2"/>
        <w:spacing w:after="200"/>
        <w:rPr>
          <w:rFonts w:asciiTheme="minorHAnsi" w:hAnsiTheme="minorHAnsi"/>
          <w:color w:val="2E74B5" w:themeColor="accent1" w:themeShade="BF"/>
        </w:rPr>
      </w:pPr>
      <w:bookmarkStart w:id="23" w:name="_Toc448475180"/>
      <w:r w:rsidRPr="00DF2FAC">
        <w:rPr>
          <w:rFonts w:asciiTheme="minorHAnsi" w:hAnsiTheme="minorHAnsi"/>
          <w:color w:val="2E74B5" w:themeColor="accent1" w:themeShade="BF"/>
        </w:rPr>
        <w:t xml:space="preserve">2.5 </w:t>
      </w:r>
      <w:r w:rsidRPr="00DF2FAC">
        <w:rPr>
          <w:rFonts w:asciiTheme="minorHAnsi" w:hAnsiTheme="minorHAnsi"/>
          <w:color w:val="2E74B5" w:themeColor="accent1" w:themeShade="BF"/>
        </w:rPr>
        <w:tab/>
        <w:t>Service Level Review</w:t>
      </w:r>
      <w:bookmarkEnd w:id="23"/>
    </w:p>
    <w:p w:rsidR="00D02973" w:rsidRPr="00EA2F26" w:rsidRDefault="00D02973" w:rsidP="00D02973">
      <w:pPr>
        <w:rPr>
          <w:color w:val="0000CC"/>
        </w:rPr>
      </w:pPr>
      <w:r w:rsidRPr="00EA2F26">
        <w:t>The objective of the service level review process is to gain a better understanding of the needs expectations and perceptions of existing and future users of the service. This allows the definition of meaningful levels of service and performance measures.</w:t>
      </w:r>
    </w:p>
    <w:p w:rsidR="00D02973" w:rsidRPr="00EA2F26" w:rsidRDefault="00D02973" w:rsidP="00D02973">
      <w:r w:rsidRPr="00EA2F26">
        <w:t xml:space="preserve">The review process </w:t>
      </w:r>
      <w:r>
        <w:t>needs to be repeated on a regular</w:t>
      </w:r>
      <w:r w:rsidRPr="00EA2F26">
        <w:t xml:space="preserve"> cycle to ensure that knowledge of community needs and expectations remains current in the light of changing environmental, financial, political, social and technical factors. Changing customer needs and expectations, as determined by the review, are part of the continuous R&amp;OS-AMP improvement cycle.</w:t>
      </w:r>
    </w:p>
    <w:p w:rsidR="00D02973" w:rsidRPr="00EA2F26" w:rsidRDefault="00D02973" w:rsidP="00D02973">
      <w:r w:rsidRPr="00EA2F26">
        <w:t xml:space="preserve">In 2014, Bayside </w:t>
      </w:r>
      <w:r>
        <w:t>Council</w:t>
      </w:r>
      <w:r w:rsidRPr="00EA2F26">
        <w:t xml:space="preserve"> developed a Strategic Service Review Framework</w:t>
      </w:r>
      <w:r w:rsidRPr="00EA2F26">
        <w:rPr>
          <w:rStyle w:val="FootnoteReference"/>
        </w:rPr>
        <w:footnoteReference w:id="2"/>
      </w:r>
      <w:r w:rsidRPr="00EA2F26">
        <w:t xml:space="preserve"> in the context of the following factors:</w:t>
      </w:r>
    </w:p>
    <w:p w:rsidR="00D02973" w:rsidRPr="00EA2F26" w:rsidRDefault="00D02973" w:rsidP="00D02973">
      <w:pPr>
        <w:pStyle w:val="ListParagraph"/>
        <w:numPr>
          <w:ilvl w:val="0"/>
          <w:numId w:val="31"/>
        </w:numPr>
      </w:pPr>
      <w:r w:rsidRPr="00EA2F26">
        <w:t>Tightening funding environment</w:t>
      </w:r>
    </w:p>
    <w:p w:rsidR="00D02973" w:rsidRPr="00EA2F26" w:rsidRDefault="00D02973" w:rsidP="00D02973">
      <w:pPr>
        <w:pStyle w:val="ListParagraph"/>
        <w:numPr>
          <w:ilvl w:val="0"/>
          <w:numId w:val="31"/>
        </w:numPr>
      </w:pPr>
      <w:r w:rsidRPr="00EA2F26">
        <w:t>Commitment to business excellence and continuous improvement</w:t>
      </w:r>
    </w:p>
    <w:p w:rsidR="00D02973" w:rsidRPr="00EA2F26" w:rsidRDefault="00D02973" w:rsidP="00D02973">
      <w:pPr>
        <w:pStyle w:val="ListParagraph"/>
        <w:numPr>
          <w:ilvl w:val="0"/>
          <w:numId w:val="31"/>
        </w:numPr>
      </w:pPr>
      <w:r w:rsidRPr="00EA2F26">
        <w:t>Internal Audit report</w:t>
      </w:r>
      <w:r w:rsidRPr="00EA2F26">
        <w:rPr>
          <w:rStyle w:val="FootnoteReference"/>
        </w:rPr>
        <w:footnoteReference w:id="3"/>
      </w:r>
      <w:r w:rsidRPr="00EA2F26">
        <w:t xml:space="preserve"> recommending development of strategy outlining service provision into the future, </w:t>
      </w:r>
    </w:p>
    <w:p w:rsidR="00D02973" w:rsidRPr="00EA2F26" w:rsidRDefault="00D02973" w:rsidP="00D02973">
      <w:pPr>
        <w:pStyle w:val="ListParagraph"/>
        <w:numPr>
          <w:ilvl w:val="0"/>
          <w:numId w:val="31"/>
        </w:numPr>
      </w:pPr>
      <w:r w:rsidRPr="00EA2F26">
        <w:t>Best value provisions to the Local Government Act and,</w:t>
      </w:r>
    </w:p>
    <w:p w:rsidR="00D02973" w:rsidRPr="00EA2F26" w:rsidRDefault="00D02973" w:rsidP="00D02973">
      <w:pPr>
        <w:pStyle w:val="ListParagraph"/>
        <w:numPr>
          <w:ilvl w:val="0"/>
          <w:numId w:val="31"/>
        </w:numPr>
      </w:pPr>
      <w:r w:rsidRPr="00EA2F26">
        <w:t>MAV STEP program direction.</w:t>
      </w:r>
    </w:p>
    <w:p w:rsidR="00D02973" w:rsidRPr="00EA2F26" w:rsidRDefault="00D02973" w:rsidP="00D02973">
      <w:r w:rsidRPr="00EA2F26">
        <w:lastRenderedPageBreak/>
        <w:t xml:space="preserve">A framework for </w:t>
      </w:r>
      <w:r>
        <w:t>Council</w:t>
      </w:r>
      <w:r w:rsidRPr="00EA2F26">
        <w:t xml:space="preserve"> services reviews was developed together with the initial program reviews for 2014/15. The initial reviews were for Statutory Planning, Family and Children’s Services, Fleet Management and Youth Services. A rolling program of reviews for subsequent years will be identified through the annual departmental planning process.  </w:t>
      </w:r>
    </w:p>
    <w:p w:rsidR="00D02973" w:rsidRPr="00DF2FAC" w:rsidRDefault="00D02973" w:rsidP="00D02973">
      <w:pPr>
        <w:pStyle w:val="Heading1"/>
        <w:spacing w:before="0" w:after="200"/>
        <w:rPr>
          <w:rFonts w:asciiTheme="minorHAnsi" w:hAnsiTheme="minorHAnsi"/>
        </w:rPr>
      </w:pPr>
      <w:bookmarkStart w:id="24" w:name="_Toc448475181"/>
      <w:r w:rsidRPr="00DF2FAC">
        <w:rPr>
          <w:rFonts w:asciiTheme="minorHAnsi" w:hAnsiTheme="minorHAnsi"/>
        </w:rPr>
        <w:t xml:space="preserve">3.0 </w:t>
      </w:r>
      <w:r w:rsidRPr="00DF2FAC">
        <w:rPr>
          <w:rFonts w:asciiTheme="minorHAnsi" w:hAnsiTheme="minorHAnsi"/>
        </w:rPr>
        <w:tab/>
        <w:t>Future Demand</w:t>
      </w:r>
      <w:bookmarkEnd w:id="24"/>
    </w:p>
    <w:p w:rsidR="00D02973" w:rsidRPr="00EA2F26" w:rsidRDefault="00D02973" w:rsidP="00D02973">
      <w:pPr>
        <w:spacing w:before="120"/>
        <w:jc w:val="both"/>
      </w:pPr>
      <w:r w:rsidRPr="00EA2F26">
        <w:t xml:space="preserve">Future demand is a key consideration in asset management planning for </w:t>
      </w:r>
      <w:r>
        <w:t>Council</w:t>
      </w:r>
      <w:r w:rsidRPr="00EA2F26">
        <w:t>’s r</w:t>
      </w:r>
      <w:r w:rsidRPr="00EA2F26">
        <w:rPr>
          <w:rFonts w:cs="Calibri"/>
          <w:color w:val="000000"/>
        </w:rPr>
        <w:t>ecreation and open space assets</w:t>
      </w:r>
      <w:r w:rsidRPr="00EA2F26">
        <w:t>.  Predictions have been made for the future growth or decline in usage of r</w:t>
      </w:r>
      <w:r w:rsidRPr="00EA2F26">
        <w:rPr>
          <w:rFonts w:cs="Calibri"/>
          <w:color w:val="000000"/>
        </w:rPr>
        <w:t>ecreation and open space assets</w:t>
      </w:r>
      <w:r w:rsidRPr="00EA2F26">
        <w:t>. Future demand can be projected by taking into account trends in population size, age distribution, density and trends in tourism, leisure activities and changes in technology.</w:t>
      </w:r>
    </w:p>
    <w:p w:rsidR="00D02973" w:rsidRPr="00EA2F26" w:rsidRDefault="00D02973" w:rsidP="00D02973">
      <w:pPr>
        <w:spacing w:before="120"/>
        <w:jc w:val="both"/>
        <w:rPr>
          <w:rFonts w:cs="Calibri"/>
          <w:b/>
          <w:bCs/>
          <w:color w:val="000000"/>
          <w:sz w:val="32"/>
          <w:szCs w:val="32"/>
        </w:rPr>
      </w:pPr>
      <w:r w:rsidRPr="00EA2F26">
        <w:t xml:space="preserve">Our understanding of future demand will improve as more data is collected on usage rates, use trends and potential for cross category use, such as sporting facilities that may not be used on weekdays could cater for the increasing numbers of community activities.  Such demand management alternatives must be assessed on a case-by-case basis and will help </w:t>
      </w:r>
      <w:r>
        <w:t>Council</w:t>
      </w:r>
      <w:r w:rsidRPr="00EA2F26">
        <w:t xml:space="preserve"> to provide services where fluctuation in demand can be catered for without having to construct new assets. Where expectations within the community for services requiring recreation and open space assets are shown to increase, demand management can serve to increase understanding that better or increased services will incur higher costs.</w:t>
      </w:r>
    </w:p>
    <w:p w:rsidR="00D02973" w:rsidRPr="00DF2FAC" w:rsidRDefault="00D02973" w:rsidP="00D02973">
      <w:pPr>
        <w:pStyle w:val="Heading2"/>
        <w:spacing w:after="200"/>
        <w:rPr>
          <w:rFonts w:asciiTheme="minorHAnsi" w:hAnsiTheme="minorHAnsi"/>
          <w:color w:val="2E74B5" w:themeColor="accent1" w:themeShade="BF"/>
        </w:rPr>
      </w:pPr>
      <w:bookmarkStart w:id="25" w:name="_Toc448475182"/>
      <w:r w:rsidRPr="00DF2FAC">
        <w:rPr>
          <w:rFonts w:asciiTheme="minorHAnsi" w:hAnsiTheme="minorHAnsi"/>
          <w:color w:val="2E74B5" w:themeColor="accent1" w:themeShade="BF"/>
        </w:rPr>
        <w:t xml:space="preserve">3.1 </w:t>
      </w:r>
      <w:r w:rsidRPr="00DF2FAC">
        <w:rPr>
          <w:rFonts w:asciiTheme="minorHAnsi" w:hAnsiTheme="minorHAnsi"/>
          <w:color w:val="2E74B5" w:themeColor="accent1" w:themeShade="BF"/>
        </w:rPr>
        <w:tab/>
        <w:t>Population &amp; Demographic Trends</w:t>
      </w:r>
      <w:bookmarkEnd w:id="25"/>
    </w:p>
    <w:p w:rsidR="00D02973" w:rsidRPr="00EA2F26" w:rsidRDefault="00D02973" w:rsidP="00D02973">
      <w:pPr>
        <w:jc w:val="both"/>
        <w:rPr>
          <w:rFonts w:cs="Arial"/>
        </w:rPr>
      </w:pPr>
      <w:r w:rsidRPr="00EA2F26">
        <w:rPr>
          <w:rFonts w:cs="Arial"/>
        </w:rPr>
        <w:t xml:space="preserve">Bayside’s estimated resident population for 2014 was 99,947 persons – a substantial increase of 1,652 persons (1.7%) from 2013.  In 2011, Bayside had a high proportion of </w:t>
      </w:r>
      <w:r w:rsidRPr="00EA2F26">
        <w:rPr>
          <w:rFonts w:eastAsia="Times New Roman" w:cs="Times New Roman"/>
          <w:lang w:eastAsia="en-AU"/>
        </w:rPr>
        <w:t>parents and homebuilders (35 to 49 years), older workers and pre-retirees (50 to 59 years) and empty nesters and retirees (60 to 69 years).</w:t>
      </w:r>
      <w:r w:rsidRPr="00EA2F26">
        <w:rPr>
          <w:rFonts w:cs="Arial"/>
        </w:rPr>
        <w:t>Bayside is considered to be an ‘older’ community with an average age of 42 years in 2011, compared to 36 years across the Greater Melbourne area. Compared to Greater Melbourne, Bayside had lower proportions of adults in the ‘young workforce’ aged 25-34 years; and more frail aged persons aged 85 years and over. Bayside also had higher proportions of older workers and pre-retirees aged 50-59, empty nesters and retirees aged 60-69 and seniors aged 70 to 84 years.</w:t>
      </w:r>
    </w:p>
    <w:p w:rsidR="00D02973" w:rsidRPr="00EA2F26" w:rsidRDefault="00D02973" w:rsidP="00D02973">
      <w:pPr>
        <w:pStyle w:val="Para2"/>
        <w:spacing w:after="200" w:line="276" w:lineRule="auto"/>
        <w:ind w:left="0"/>
        <w:jc w:val="both"/>
        <w:rPr>
          <w:rFonts w:asciiTheme="minorHAnsi" w:eastAsiaTheme="minorHAnsi" w:hAnsiTheme="minorHAnsi" w:cstheme="minorBidi"/>
          <w:color w:val="auto"/>
          <w:sz w:val="22"/>
          <w:szCs w:val="22"/>
          <w:lang w:val="en-AU" w:eastAsia="en-US"/>
        </w:rPr>
      </w:pPr>
      <w:r w:rsidRPr="00EA2F26">
        <w:rPr>
          <w:rFonts w:asciiTheme="minorHAnsi" w:eastAsiaTheme="minorHAnsi" w:hAnsiTheme="minorHAnsi" w:cstheme="minorBidi"/>
          <w:color w:val="auto"/>
          <w:sz w:val="22"/>
          <w:szCs w:val="22"/>
          <w:lang w:val="en-AU" w:eastAsia="en-US"/>
        </w:rPr>
        <w:t xml:space="preserve">Over the next decade, Bayside will experience higher levels of growth particularly during the 2017-2020 period. In 2016, the total population of the City of Bayside is forecast to be 103,110 persons. It is expected to increase by 9,858 persons to 112,968 by 2026, at an average annual growth rate of 0.9%. </w:t>
      </w:r>
    </w:p>
    <w:p w:rsidR="00D02973" w:rsidRPr="00EA2F26" w:rsidRDefault="00D02973" w:rsidP="00D02973">
      <w:pPr>
        <w:pStyle w:val="Para2"/>
        <w:spacing w:after="200" w:line="276" w:lineRule="auto"/>
        <w:ind w:left="0"/>
        <w:jc w:val="both"/>
        <w:rPr>
          <w:rFonts w:asciiTheme="minorHAnsi" w:eastAsiaTheme="minorHAnsi" w:hAnsiTheme="minorHAnsi" w:cstheme="minorBidi"/>
          <w:color w:val="auto"/>
          <w:sz w:val="22"/>
          <w:szCs w:val="22"/>
          <w:lang w:val="en-AU" w:eastAsia="en-US"/>
        </w:rPr>
      </w:pPr>
      <w:r w:rsidRPr="00EA2F26">
        <w:rPr>
          <w:rFonts w:asciiTheme="minorHAnsi" w:eastAsiaTheme="minorHAnsi" w:hAnsiTheme="minorHAnsi" w:cstheme="minorBidi"/>
          <w:color w:val="auto"/>
          <w:sz w:val="22"/>
          <w:szCs w:val="22"/>
          <w:lang w:val="en-AU" w:eastAsia="en-US"/>
        </w:rPr>
        <w:t>Most of the growth in dwellings and population in Bayside will occur from large residential development sites including:</w:t>
      </w:r>
    </w:p>
    <w:p w:rsidR="00D02973" w:rsidRPr="00EA2F26" w:rsidRDefault="00D02973" w:rsidP="00D02973">
      <w:pPr>
        <w:pStyle w:val="Para2"/>
        <w:numPr>
          <w:ilvl w:val="0"/>
          <w:numId w:val="27"/>
        </w:numPr>
        <w:spacing w:after="200" w:line="276" w:lineRule="auto"/>
        <w:ind w:left="426"/>
        <w:jc w:val="both"/>
        <w:rPr>
          <w:rFonts w:asciiTheme="minorHAnsi" w:eastAsiaTheme="minorHAnsi" w:hAnsiTheme="minorHAnsi" w:cstheme="minorBidi"/>
          <w:color w:val="auto"/>
          <w:sz w:val="22"/>
          <w:szCs w:val="22"/>
          <w:lang w:val="en-AU" w:eastAsia="en-US"/>
        </w:rPr>
      </w:pPr>
      <w:r w:rsidRPr="00EA2F26">
        <w:rPr>
          <w:rFonts w:asciiTheme="minorHAnsi" w:eastAsiaTheme="minorHAnsi" w:hAnsiTheme="minorHAnsi" w:cstheme="minorBidi"/>
          <w:color w:val="auto"/>
          <w:sz w:val="22"/>
          <w:szCs w:val="22"/>
          <w:lang w:val="en-AU" w:eastAsia="en-US"/>
        </w:rPr>
        <w:t>Bay Road in Sandringham</w:t>
      </w:r>
    </w:p>
    <w:p w:rsidR="00D02973" w:rsidRPr="00EA2F26" w:rsidRDefault="00D02973" w:rsidP="00D02973">
      <w:pPr>
        <w:pStyle w:val="Para2"/>
        <w:numPr>
          <w:ilvl w:val="0"/>
          <w:numId w:val="27"/>
        </w:numPr>
        <w:spacing w:after="200" w:line="276" w:lineRule="auto"/>
        <w:ind w:left="426"/>
        <w:jc w:val="both"/>
        <w:rPr>
          <w:rFonts w:asciiTheme="minorHAnsi" w:eastAsiaTheme="minorHAnsi" w:hAnsiTheme="minorHAnsi" w:cstheme="minorBidi"/>
          <w:color w:val="auto"/>
          <w:sz w:val="22"/>
          <w:szCs w:val="22"/>
          <w:lang w:val="en-AU" w:eastAsia="en-US"/>
        </w:rPr>
      </w:pPr>
      <w:r w:rsidRPr="00EA2F26">
        <w:rPr>
          <w:rFonts w:asciiTheme="minorHAnsi" w:eastAsiaTheme="minorHAnsi" w:hAnsiTheme="minorHAnsi" w:cstheme="minorBidi"/>
          <w:color w:val="auto"/>
          <w:sz w:val="22"/>
          <w:szCs w:val="22"/>
          <w:lang w:val="en-AU" w:eastAsia="en-US"/>
        </w:rPr>
        <w:t>the former CSIRO site in Highett</w:t>
      </w:r>
    </w:p>
    <w:p w:rsidR="00D02973" w:rsidRPr="00EA2F26" w:rsidRDefault="00D02973" w:rsidP="00D02973">
      <w:pPr>
        <w:pStyle w:val="Para2"/>
        <w:numPr>
          <w:ilvl w:val="0"/>
          <w:numId w:val="27"/>
        </w:numPr>
        <w:spacing w:after="200" w:line="276" w:lineRule="auto"/>
        <w:ind w:left="426"/>
        <w:jc w:val="both"/>
        <w:rPr>
          <w:rFonts w:asciiTheme="minorHAnsi" w:eastAsiaTheme="minorHAnsi" w:hAnsiTheme="minorHAnsi" w:cstheme="minorBidi"/>
          <w:color w:val="auto"/>
          <w:sz w:val="22"/>
          <w:szCs w:val="22"/>
          <w:lang w:val="en-AU" w:eastAsia="en-US"/>
        </w:rPr>
      </w:pPr>
      <w:r w:rsidRPr="00EA2F26">
        <w:rPr>
          <w:rFonts w:asciiTheme="minorHAnsi" w:eastAsiaTheme="minorHAnsi" w:hAnsiTheme="minorHAnsi" w:cstheme="minorBidi"/>
          <w:color w:val="auto"/>
          <w:sz w:val="22"/>
          <w:szCs w:val="22"/>
          <w:lang w:val="en-AU" w:eastAsia="en-US"/>
        </w:rPr>
        <w:t>transport nodes such as the Hampton railway station</w:t>
      </w:r>
    </w:p>
    <w:p w:rsidR="00D02973" w:rsidRPr="00EA2F26" w:rsidRDefault="00D02973" w:rsidP="00D02973">
      <w:pPr>
        <w:pStyle w:val="Para2"/>
        <w:numPr>
          <w:ilvl w:val="0"/>
          <w:numId w:val="27"/>
        </w:numPr>
        <w:spacing w:after="200" w:line="276" w:lineRule="auto"/>
        <w:ind w:left="426"/>
        <w:jc w:val="both"/>
        <w:rPr>
          <w:rFonts w:asciiTheme="minorHAnsi" w:eastAsiaTheme="minorHAnsi" w:hAnsiTheme="minorHAnsi" w:cstheme="minorBidi"/>
          <w:color w:val="auto"/>
          <w:sz w:val="22"/>
          <w:szCs w:val="22"/>
          <w:lang w:val="en-AU" w:eastAsia="en-US"/>
        </w:rPr>
      </w:pPr>
      <w:r w:rsidRPr="00EA2F26">
        <w:rPr>
          <w:rFonts w:asciiTheme="minorHAnsi" w:eastAsiaTheme="minorHAnsi" w:hAnsiTheme="minorHAnsi" w:cstheme="minorBidi"/>
          <w:color w:val="auto"/>
          <w:sz w:val="22"/>
          <w:szCs w:val="22"/>
          <w:lang w:val="en-AU" w:eastAsia="en-US"/>
        </w:rPr>
        <w:lastRenderedPageBreak/>
        <w:t>around activity (shopping) centres such as Bay Street, Church Street, Martin Street and surrounding streets such as Asling Street, New Street, Warleigh Grove</w:t>
      </w:r>
    </w:p>
    <w:p w:rsidR="00D02973" w:rsidRPr="00EA2F26" w:rsidRDefault="00D02973" w:rsidP="00D02973">
      <w:pPr>
        <w:pStyle w:val="Para2"/>
        <w:numPr>
          <w:ilvl w:val="0"/>
          <w:numId w:val="27"/>
        </w:numPr>
        <w:spacing w:after="200" w:line="276" w:lineRule="auto"/>
        <w:ind w:left="426"/>
        <w:jc w:val="both"/>
        <w:rPr>
          <w:rFonts w:asciiTheme="minorHAnsi" w:eastAsiaTheme="minorHAnsi" w:hAnsiTheme="minorHAnsi" w:cstheme="minorBidi"/>
          <w:color w:val="auto"/>
          <w:sz w:val="22"/>
          <w:szCs w:val="22"/>
          <w:lang w:val="en-AU" w:eastAsia="en-US"/>
        </w:rPr>
      </w:pPr>
      <w:r w:rsidRPr="00EA2F26">
        <w:rPr>
          <w:rFonts w:asciiTheme="minorHAnsi" w:eastAsiaTheme="minorHAnsi" w:hAnsiTheme="minorHAnsi" w:cstheme="minorBidi"/>
          <w:color w:val="auto"/>
          <w:sz w:val="22"/>
          <w:szCs w:val="22"/>
          <w:lang w:val="en-AU" w:eastAsia="en-US"/>
        </w:rPr>
        <w:t xml:space="preserve">the Jack Road site in Cheltenham. </w:t>
      </w:r>
    </w:p>
    <w:p w:rsidR="00D02973" w:rsidRPr="00EA2F26" w:rsidRDefault="00D02973" w:rsidP="00D02973">
      <w:pPr>
        <w:pStyle w:val="Para2"/>
        <w:spacing w:after="200" w:line="276" w:lineRule="auto"/>
        <w:ind w:left="0"/>
        <w:jc w:val="both"/>
        <w:rPr>
          <w:rFonts w:asciiTheme="minorHAnsi" w:eastAsiaTheme="minorHAnsi" w:hAnsiTheme="minorHAnsi" w:cstheme="minorBidi"/>
          <w:color w:val="auto"/>
          <w:sz w:val="22"/>
          <w:szCs w:val="22"/>
          <w:lang w:val="en-AU" w:eastAsia="en-US"/>
        </w:rPr>
      </w:pPr>
      <w:r w:rsidRPr="00EA2F26">
        <w:rPr>
          <w:rFonts w:asciiTheme="minorHAnsi" w:eastAsiaTheme="minorHAnsi" w:hAnsiTheme="minorHAnsi" w:cstheme="minorBidi"/>
          <w:color w:val="auto"/>
          <w:sz w:val="22"/>
          <w:szCs w:val="22"/>
          <w:lang w:val="en-AU" w:eastAsia="en-US"/>
        </w:rPr>
        <w:t xml:space="preserve">It is likely that residents moving into these locations will be immediate or future users of recreation and open space owned by </w:t>
      </w:r>
      <w:r>
        <w:rPr>
          <w:rFonts w:asciiTheme="minorHAnsi" w:eastAsiaTheme="minorHAnsi" w:hAnsiTheme="minorHAnsi" w:cstheme="minorBidi"/>
          <w:color w:val="auto"/>
          <w:sz w:val="22"/>
          <w:szCs w:val="22"/>
          <w:lang w:val="en-AU" w:eastAsia="en-US"/>
        </w:rPr>
        <w:t>Council</w:t>
      </w:r>
      <w:r w:rsidRPr="00EA2F26">
        <w:rPr>
          <w:rFonts w:asciiTheme="minorHAnsi" w:eastAsiaTheme="minorHAnsi" w:hAnsiTheme="minorHAnsi" w:cstheme="minorBidi"/>
          <w:color w:val="auto"/>
          <w:sz w:val="22"/>
          <w:szCs w:val="22"/>
          <w:lang w:val="en-AU" w:eastAsia="en-US"/>
        </w:rPr>
        <w:t>, potentially placing increased demand on facilities (capacity, spaces for programs/services, changing needs). The housing styles and real estate market will determine the likely age and household types of new residents in these suburbs.</w:t>
      </w:r>
    </w:p>
    <w:p w:rsidR="00D02973" w:rsidRPr="00EA2F26" w:rsidRDefault="00D02973" w:rsidP="00D02973">
      <w:pPr>
        <w:pStyle w:val="Para2"/>
        <w:spacing w:after="200" w:line="276" w:lineRule="auto"/>
        <w:ind w:left="0"/>
        <w:jc w:val="both"/>
        <w:rPr>
          <w:rFonts w:asciiTheme="minorHAnsi" w:eastAsia="Times New Roman" w:hAnsiTheme="minorHAnsi"/>
          <w:color w:val="auto"/>
          <w:sz w:val="22"/>
          <w:szCs w:val="22"/>
        </w:rPr>
      </w:pPr>
      <w:r w:rsidRPr="00EA2F26">
        <w:rPr>
          <w:rFonts w:asciiTheme="minorHAnsi" w:hAnsiTheme="minorHAnsi" w:cs="Arial"/>
          <w:color w:val="auto"/>
          <w:sz w:val="22"/>
          <w:szCs w:val="22"/>
        </w:rPr>
        <w:t xml:space="preserve">In 2016, Bayside will continue to have high proportions of </w:t>
      </w:r>
      <w:r w:rsidRPr="00EA2F26">
        <w:rPr>
          <w:rFonts w:asciiTheme="minorHAnsi" w:eastAsia="Times New Roman" w:hAnsiTheme="minorHAnsi"/>
          <w:color w:val="auto"/>
          <w:sz w:val="22"/>
          <w:szCs w:val="22"/>
        </w:rPr>
        <w:t xml:space="preserve">residents aged 35 to 49 years (refer to Figure 2a), mature adults aged 50 to 59 years and empty nesters and retirees aged in their sixties. </w:t>
      </w:r>
    </w:p>
    <w:p w:rsidR="00D02973" w:rsidRPr="00EA2F26" w:rsidRDefault="00D02973" w:rsidP="00D02973">
      <w:pPr>
        <w:pStyle w:val="Caption"/>
        <w:spacing w:line="276" w:lineRule="auto"/>
        <w:rPr>
          <w:rFonts w:asciiTheme="minorHAnsi" w:hAnsiTheme="minorHAnsi" w:cs="Calibri"/>
          <w:color w:val="auto"/>
          <w:sz w:val="22"/>
          <w:szCs w:val="22"/>
        </w:rPr>
      </w:pPr>
      <w:r w:rsidRPr="00EA2F26">
        <w:rPr>
          <w:rFonts w:asciiTheme="minorHAnsi" w:hAnsiTheme="minorHAnsi" w:cs="Calibri"/>
          <w:color w:val="auto"/>
          <w:sz w:val="22"/>
          <w:szCs w:val="22"/>
        </w:rPr>
        <w:t>Figure 2a: Forecast Population by Service age groups, City of Bayside, 2016 to 2026</w:t>
      </w:r>
    </w:p>
    <w:p w:rsidR="00D02973" w:rsidRPr="00EA2F26" w:rsidRDefault="00D02973" w:rsidP="00D02973">
      <w:r w:rsidRPr="00EA2F26">
        <w:rPr>
          <w:noProof/>
          <w:lang w:eastAsia="en-AU"/>
        </w:rPr>
        <w:drawing>
          <wp:inline distT="0" distB="0" distL="0" distR="0" wp14:anchorId="3C9290E5" wp14:editId="5DCD636D">
            <wp:extent cx="4247896" cy="2708275"/>
            <wp:effectExtent l="0" t="0" r="635" b="0"/>
            <wp:docPr id="12" name="Picture 12" descr="C:\Users\jgrogan\Downloads\population-age-stru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grogan\Downloads\population-age-structure.png"/>
                    <pic:cNvPicPr>
                      <a:picLocks noChangeAspect="1" noChangeArrowheads="1"/>
                    </pic:cNvPicPr>
                  </pic:nvPicPr>
                  <pic:blipFill rotWithShape="1">
                    <a:blip r:embed="rId20">
                      <a:extLst>
                        <a:ext uri="{28A0092B-C50C-407E-A947-70E740481C1C}">
                          <a14:useLocalDpi xmlns:a14="http://schemas.microsoft.com/office/drawing/2010/main" val="0"/>
                        </a:ext>
                      </a:extLst>
                    </a:blip>
                    <a:srcRect t="5641"/>
                    <a:stretch/>
                  </pic:blipFill>
                  <pic:spPr bwMode="auto">
                    <a:xfrm>
                      <a:off x="0" y="0"/>
                      <a:ext cx="4257831" cy="2714609"/>
                    </a:xfrm>
                    <a:prstGeom prst="rect">
                      <a:avLst/>
                    </a:prstGeom>
                    <a:noFill/>
                    <a:ln>
                      <a:noFill/>
                    </a:ln>
                    <a:extLst>
                      <a:ext uri="{53640926-AAD7-44D8-BBD7-CCE9431645EC}">
                        <a14:shadowObscured xmlns:a14="http://schemas.microsoft.com/office/drawing/2010/main"/>
                      </a:ext>
                    </a:extLst>
                  </pic:spPr>
                </pic:pic>
              </a:graphicData>
            </a:graphic>
          </wp:inline>
        </w:drawing>
      </w:r>
    </w:p>
    <w:p w:rsidR="00D02973" w:rsidRPr="00EA2F26" w:rsidRDefault="00D02973" w:rsidP="00D02973">
      <w:pPr>
        <w:jc w:val="both"/>
        <w:rPr>
          <w:rFonts w:cs="Arial"/>
        </w:rPr>
      </w:pPr>
      <w:r w:rsidRPr="00EA2F26">
        <w:rPr>
          <w:rFonts w:cs="Arial"/>
        </w:rPr>
        <w:t xml:space="preserve">Source: id consulting, </w:t>
      </w:r>
      <w:r w:rsidRPr="00EA2F26">
        <w:rPr>
          <w:rStyle w:val="Italic"/>
        </w:rPr>
        <w:t>City of Bayside Population Forecasts</w:t>
      </w:r>
      <w:r w:rsidRPr="00EA2F26">
        <w:rPr>
          <w:rFonts w:cs="Arial"/>
        </w:rPr>
        <w:t>, 2015</w:t>
      </w:r>
    </w:p>
    <w:p w:rsidR="00D02973" w:rsidRPr="00EA2F26" w:rsidRDefault="00D02973" w:rsidP="00D02973">
      <w:pPr>
        <w:pStyle w:val="Para2"/>
        <w:spacing w:after="200" w:line="276" w:lineRule="auto"/>
        <w:ind w:left="0"/>
        <w:jc w:val="both"/>
        <w:rPr>
          <w:rFonts w:asciiTheme="minorHAnsi" w:eastAsia="Times New Roman" w:hAnsiTheme="minorHAnsi"/>
          <w:color w:val="auto"/>
          <w:sz w:val="22"/>
          <w:szCs w:val="22"/>
        </w:rPr>
      </w:pPr>
      <w:r w:rsidRPr="00EA2F26">
        <w:rPr>
          <w:rFonts w:asciiTheme="minorHAnsi" w:eastAsia="Times New Roman" w:hAnsiTheme="minorHAnsi"/>
          <w:color w:val="auto"/>
          <w:sz w:val="22"/>
          <w:szCs w:val="22"/>
        </w:rPr>
        <w:t>The most significant demographic change over the 2016 to 2026 period is going to be the growth in the population of seniors aged 70-84 years (refer to Figure 2b). The population of seniors will increase by nearly 3,500 in ten years, a growth of 35%.</w:t>
      </w:r>
    </w:p>
    <w:p w:rsidR="00D02973" w:rsidRPr="00EA2F26" w:rsidRDefault="00D02973" w:rsidP="00D02973">
      <w:pPr>
        <w:pStyle w:val="Caption"/>
        <w:spacing w:line="276" w:lineRule="auto"/>
        <w:rPr>
          <w:rFonts w:asciiTheme="minorHAnsi" w:hAnsiTheme="minorHAnsi" w:cs="Calibri"/>
          <w:color w:val="auto"/>
          <w:sz w:val="22"/>
          <w:szCs w:val="22"/>
        </w:rPr>
      </w:pPr>
      <w:r w:rsidRPr="00EA2F26">
        <w:rPr>
          <w:rFonts w:asciiTheme="minorHAnsi" w:hAnsiTheme="minorHAnsi" w:cs="Calibri"/>
          <w:color w:val="auto"/>
          <w:sz w:val="22"/>
          <w:szCs w:val="22"/>
        </w:rPr>
        <w:lastRenderedPageBreak/>
        <w:t>Figure 2b: Change in Service age population, City of Bayside, 2016 to 2026</w:t>
      </w:r>
    </w:p>
    <w:p w:rsidR="00D02973" w:rsidRPr="00EA2F26" w:rsidRDefault="00D02973" w:rsidP="00D02973">
      <w:pPr>
        <w:pStyle w:val="Para2"/>
        <w:spacing w:after="200" w:line="276" w:lineRule="auto"/>
        <w:ind w:left="1"/>
        <w:jc w:val="both"/>
        <w:rPr>
          <w:rFonts w:asciiTheme="minorHAnsi" w:eastAsiaTheme="minorHAnsi" w:hAnsiTheme="minorHAnsi" w:cstheme="minorBidi"/>
          <w:color w:val="auto"/>
          <w:sz w:val="22"/>
          <w:szCs w:val="22"/>
          <w:lang w:val="en-AU" w:eastAsia="en-US"/>
        </w:rPr>
      </w:pPr>
      <w:r w:rsidRPr="00EA2F26">
        <w:rPr>
          <w:rFonts w:asciiTheme="minorHAnsi" w:eastAsiaTheme="minorHAnsi" w:hAnsiTheme="minorHAnsi" w:cstheme="minorBidi"/>
          <w:noProof/>
          <w:color w:val="auto"/>
          <w:sz w:val="22"/>
          <w:szCs w:val="22"/>
          <w:lang w:val="en-AU"/>
        </w:rPr>
        <w:drawing>
          <wp:inline distT="0" distB="0" distL="0" distR="0" wp14:anchorId="2B6C3C51" wp14:editId="7252C298">
            <wp:extent cx="4895418" cy="3126740"/>
            <wp:effectExtent l="0" t="0" r="635" b="0"/>
            <wp:docPr id="18" name="Picture 18" descr="C:\Users\jgrogan\Downloads\population-age-stru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grogan\Downloads\population-age-structure (2).png"/>
                    <pic:cNvPicPr>
                      <a:picLocks noChangeAspect="1" noChangeArrowheads="1"/>
                    </pic:cNvPicPr>
                  </pic:nvPicPr>
                  <pic:blipFill rotWithShape="1">
                    <a:blip r:embed="rId21">
                      <a:extLst>
                        <a:ext uri="{28A0092B-C50C-407E-A947-70E740481C1C}">
                          <a14:useLocalDpi xmlns:a14="http://schemas.microsoft.com/office/drawing/2010/main" val="0"/>
                        </a:ext>
                      </a:extLst>
                    </a:blip>
                    <a:srcRect t="5471"/>
                    <a:stretch/>
                  </pic:blipFill>
                  <pic:spPr bwMode="auto">
                    <a:xfrm>
                      <a:off x="0" y="0"/>
                      <a:ext cx="4901104" cy="3130372"/>
                    </a:xfrm>
                    <a:prstGeom prst="rect">
                      <a:avLst/>
                    </a:prstGeom>
                    <a:noFill/>
                    <a:ln>
                      <a:noFill/>
                    </a:ln>
                    <a:extLst>
                      <a:ext uri="{53640926-AAD7-44D8-BBD7-CCE9431645EC}">
                        <a14:shadowObscured xmlns:a14="http://schemas.microsoft.com/office/drawing/2010/main"/>
                      </a:ext>
                    </a:extLst>
                  </pic:spPr>
                </pic:pic>
              </a:graphicData>
            </a:graphic>
          </wp:inline>
        </w:drawing>
      </w:r>
    </w:p>
    <w:p w:rsidR="00D02973" w:rsidRPr="00EA2F26" w:rsidRDefault="00D02973" w:rsidP="00D02973">
      <w:pPr>
        <w:jc w:val="both"/>
        <w:rPr>
          <w:rFonts w:cs="Arial"/>
        </w:rPr>
      </w:pPr>
      <w:r w:rsidRPr="00EA2F26">
        <w:rPr>
          <w:rFonts w:cs="Arial"/>
        </w:rPr>
        <w:t xml:space="preserve">Source: id consulting, </w:t>
      </w:r>
      <w:r w:rsidRPr="00EA2F26">
        <w:rPr>
          <w:rStyle w:val="Italic"/>
        </w:rPr>
        <w:t>City of Bayside Population Forecasts</w:t>
      </w:r>
      <w:r w:rsidRPr="00EA2F26">
        <w:rPr>
          <w:rFonts w:cs="Arial"/>
        </w:rPr>
        <w:t>, 2015</w:t>
      </w:r>
    </w:p>
    <w:p w:rsidR="00D02973" w:rsidRPr="00EA2F26" w:rsidRDefault="00D02973" w:rsidP="00D02973">
      <w:pPr>
        <w:spacing w:before="120"/>
        <w:jc w:val="both"/>
        <w:rPr>
          <w:sz w:val="20"/>
          <w:szCs w:val="20"/>
          <w:highlight w:val="yellow"/>
        </w:rPr>
      </w:pPr>
      <w:r w:rsidRPr="00EA2F26">
        <w:t xml:space="preserve">The ageing population of Bayside (as shown in Figure 2a and Figure 2b) will put pressure on the provision of community and recreational services and facilities commensurate with that age group. The University of Western Sydney Urban Research Centre prepared a report in March 2011 titled </w:t>
      </w:r>
      <w:r w:rsidRPr="00EA2F26">
        <w:rPr>
          <w:i/>
        </w:rPr>
        <w:t>Local Government and Ageing</w:t>
      </w:r>
      <w:r w:rsidRPr="00EA2F26">
        <w:t xml:space="preserve"> using information provided by twenty </w:t>
      </w:r>
      <w:r>
        <w:t>Council’s</w:t>
      </w:r>
      <w:r w:rsidRPr="00EA2F26">
        <w:t xml:space="preserve"> across New South Wales. The report concludes that “ageing of the population impacts on almost all aspects of local government”, and that “the largest financial impact appeared to be in the area of providing appropriate infrastructure.”</w:t>
      </w:r>
      <w:r w:rsidRPr="00EA2F26">
        <w:rPr>
          <w:rStyle w:val="FootnoteReference"/>
        </w:rPr>
        <w:footnoteReference w:id="4"/>
      </w:r>
    </w:p>
    <w:p w:rsidR="00D02973" w:rsidRPr="00DF2FAC" w:rsidRDefault="00D02973" w:rsidP="00D02973">
      <w:pPr>
        <w:pStyle w:val="Heading2"/>
        <w:spacing w:after="200"/>
        <w:rPr>
          <w:rFonts w:asciiTheme="minorHAnsi" w:hAnsiTheme="minorHAnsi"/>
          <w:color w:val="2E74B5" w:themeColor="accent1" w:themeShade="BF"/>
        </w:rPr>
      </w:pPr>
      <w:bookmarkStart w:id="26" w:name="_Toc448475183"/>
      <w:r w:rsidRPr="00DF2FAC">
        <w:rPr>
          <w:rFonts w:asciiTheme="minorHAnsi" w:hAnsiTheme="minorHAnsi"/>
          <w:color w:val="2E74B5" w:themeColor="accent1" w:themeShade="BF"/>
        </w:rPr>
        <w:t>3.2</w:t>
      </w:r>
      <w:r w:rsidRPr="00DF2FAC">
        <w:rPr>
          <w:rFonts w:asciiTheme="minorHAnsi" w:hAnsiTheme="minorHAnsi"/>
          <w:color w:val="2E74B5" w:themeColor="accent1" w:themeShade="BF"/>
        </w:rPr>
        <w:tab/>
        <w:t xml:space="preserve"> Identifying Future Demand Factors</w:t>
      </w:r>
      <w:bookmarkEnd w:id="26"/>
    </w:p>
    <w:p w:rsidR="00D02973" w:rsidRPr="00EA2F26" w:rsidRDefault="00D02973" w:rsidP="00D02973">
      <w:r w:rsidRPr="00EA2F26">
        <w:t xml:space="preserve">Community expectations of the services provided by </w:t>
      </w:r>
      <w:r>
        <w:t>Council</w:t>
      </w:r>
      <w:r w:rsidRPr="00EA2F26">
        <w:t xml:space="preserve">’s recreation and open spaces are increasing. Significant changes with respect to legislation, technology, and the environment are also anticipated.  It is in this context that </w:t>
      </w:r>
      <w:r>
        <w:t>Council</w:t>
      </w:r>
      <w:r w:rsidRPr="00EA2F26">
        <w:t xml:space="preserve"> must plan for the upgrading of existing and the construction of new recreation and open space assets to meet these requirements.</w:t>
      </w:r>
    </w:p>
    <w:p w:rsidR="00D02973" w:rsidRPr="00EA2F26" w:rsidRDefault="00D02973" w:rsidP="00D02973">
      <w:pPr>
        <w:pStyle w:val="Heading3"/>
        <w:spacing w:after="200"/>
        <w:rPr>
          <w:rFonts w:asciiTheme="minorHAnsi" w:hAnsiTheme="minorHAnsi"/>
          <w:color w:val="808080" w:themeColor="background1" w:themeShade="80"/>
        </w:rPr>
      </w:pPr>
      <w:bookmarkStart w:id="27" w:name="_Toc448475184"/>
      <w:r w:rsidRPr="00EA2F26">
        <w:rPr>
          <w:rFonts w:asciiTheme="minorHAnsi" w:hAnsiTheme="minorHAnsi"/>
          <w:color w:val="808080" w:themeColor="background1" w:themeShade="80"/>
        </w:rPr>
        <w:t>3.2.1</w:t>
      </w:r>
      <w:r w:rsidRPr="00EA2F26">
        <w:rPr>
          <w:rFonts w:asciiTheme="minorHAnsi" w:hAnsiTheme="minorHAnsi"/>
          <w:color w:val="808080" w:themeColor="background1" w:themeShade="80"/>
        </w:rPr>
        <w:tab/>
        <w:t xml:space="preserve"> Legislative Change</w:t>
      </w:r>
      <w:bookmarkEnd w:id="27"/>
    </w:p>
    <w:p w:rsidR="00D02973" w:rsidRPr="00EA2F26" w:rsidRDefault="00D02973" w:rsidP="00D02973">
      <w:pPr>
        <w:jc w:val="both"/>
      </w:pPr>
      <w:r w:rsidRPr="00EA2F26">
        <w:t xml:space="preserve">Legislative and regulatory change can significantly affect </w:t>
      </w:r>
      <w:r>
        <w:t>Council</w:t>
      </w:r>
      <w:r w:rsidRPr="00EA2F26">
        <w:t xml:space="preserve">’s ability to meet minimum levels of service and may require improvements to </w:t>
      </w:r>
      <w:r w:rsidRPr="00EA2F26">
        <w:rPr>
          <w:rFonts w:cs="Calibri"/>
          <w:color w:val="000000"/>
        </w:rPr>
        <w:t>recreation and open space assets</w:t>
      </w:r>
      <w:r w:rsidRPr="00EA2F26">
        <w:t xml:space="preserve">.  This can result from factors such as changing environmental standards, community safety standards, and OH&amp;S, all of </w:t>
      </w:r>
      <w:r w:rsidRPr="00EA2F26">
        <w:lastRenderedPageBreak/>
        <w:t xml:space="preserve">which potentially adding to the cost of maintaining and operating </w:t>
      </w:r>
      <w:r>
        <w:t>Council</w:t>
      </w:r>
      <w:r w:rsidRPr="00EA2F26">
        <w:t xml:space="preserve"> assets which must be accounted for in the annual budget process.</w:t>
      </w:r>
    </w:p>
    <w:p w:rsidR="00D02973" w:rsidRPr="00EA2F26" w:rsidRDefault="00D02973" w:rsidP="00D02973">
      <w:pPr>
        <w:spacing w:before="120"/>
        <w:jc w:val="both"/>
      </w:pPr>
      <w:r w:rsidRPr="00EA2F26">
        <w:t xml:space="preserve">An example of such an impact is the changes to disability access and equal opportunity legislation on access to sporting facilities and foreshore areas. </w:t>
      </w:r>
    </w:p>
    <w:p w:rsidR="00D02973" w:rsidRPr="00EA2F26" w:rsidRDefault="00D02973" w:rsidP="00D02973">
      <w:pPr>
        <w:pStyle w:val="Heading3"/>
        <w:spacing w:after="200"/>
        <w:rPr>
          <w:rFonts w:asciiTheme="minorHAnsi" w:hAnsiTheme="minorHAnsi"/>
          <w:color w:val="808080" w:themeColor="background1" w:themeShade="80"/>
        </w:rPr>
      </w:pPr>
      <w:bookmarkStart w:id="28" w:name="_Toc448475185"/>
      <w:r w:rsidRPr="00EA2F26">
        <w:rPr>
          <w:rFonts w:asciiTheme="minorHAnsi" w:hAnsiTheme="minorHAnsi"/>
          <w:color w:val="808080" w:themeColor="background1" w:themeShade="80"/>
        </w:rPr>
        <w:t xml:space="preserve">3.2.2 </w:t>
      </w:r>
      <w:r w:rsidRPr="00EA2F26">
        <w:rPr>
          <w:rFonts w:asciiTheme="minorHAnsi" w:hAnsiTheme="minorHAnsi"/>
          <w:color w:val="808080" w:themeColor="background1" w:themeShade="80"/>
        </w:rPr>
        <w:tab/>
        <w:t>Technological Change</w:t>
      </w:r>
      <w:bookmarkEnd w:id="28"/>
    </w:p>
    <w:p w:rsidR="00D02973" w:rsidRPr="00EA2F26" w:rsidRDefault="00D02973" w:rsidP="00D02973">
      <w:pPr>
        <w:jc w:val="both"/>
      </w:pPr>
      <w:r w:rsidRPr="00EA2F26">
        <w:t>Technology changes that relate to recreation and open space assets will allow alternative materials to be considered during maintenance and renewal works in the future.  These changes will also allow improvements to the maintenance and management of existing assets. Some examples include:</w:t>
      </w:r>
    </w:p>
    <w:p w:rsidR="00D02973" w:rsidRPr="00EA2F26" w:rsidRDefault="00D02973" w:rsidP="00D02973">
      <w:pPr>
        <w:pStyle w:val="ListParagraph"/>
        <w:numPr>
          <w:ilvl w:val="0"/>
          <w:numId w:val="27"/>
        </w:numPr>
        <w:jc w:val="both"/>
      </w:pPr>
      <w:r w:rsidRPr="00EA2F26">
        <w:t xml:space="preserve">Lighting: Use of LED and more sustainable lighting options. </w:t>
      </w:r>
    </w:p>
    <w:p w:rsidR="00D02973" w:rsidRPr="00EA2F26" w:rsidRDefault="00D02973" w:rsidP="00D02973">
      <w:pPr>
        <w:pStyle w:val="ListParagraph"/>
        <w:numPr>
          <w:ilvl w:val="0"/>
          <w:numId w:val="27"/>
        </w:numPr>
        <w:ind w:left="714" w:hanging="357"/>
        <w:contextualSpacing w:val="0"/>
        <w:jc w:val="both"/>
      </w:pPr>
      <w:r w:rsidRPr="00EA2F26">
        <w:t>New approaches in Herbicides / weed control.</w:t>
      </w:r>
    </w:p>
    <w:p w:rsidR="00D02973" w:rsidRPr="00EA2F26" w:rsidRDefault="00D02973" w:rsidP="00D02973">
      <w:pPr>
        <w:jc w:val="both"/>
      </w:pPr>
      <w:r w:rsidRPr="00EA2F26">
        <w:t xml:space="preserve">There will also be changes to asset management technology, in particular in monitoring and data collection activities.  Such upgrades in technology may require modifications to the published service levels to be considered as and when appropriate. </w:t>
      </w:r>
    </w:p>
    <w:p w:rsidR="00D02973" w:rsidRPr="00EA2F26" w:rsidRDefault="00D02973" w:rsidP="00D02973">
      <w:pPr>
        <w:pStyle w:val="Heading3"/>
        <w:spacing w:after="200"/>
        <w:rPr>
          <w:rFonts w:asciiTheme="minorHAnsi" w:hAnsiTheme="minorHAnsi"/>
          <w:color w:val="808080" w:themeColor="background1" w:themeShade="80"/>
        </w:rPr>
      </w:pPr>
      <w:bookmarkStart w:id="29" w:name="_Toc448475186"/>
      <w:r w:rsidRPr="00EA2F26">
        <w:rPr>
          <w:rFonts w:asciiTheme="minorHAnsi" w:hAnsiTheme="minorHAnsi"/>
          <w:color w:val="808080" w:themeColor="background1" w:themeShade="80"/>
        </w:rPr>
        <w:t>3.2.3</w:t>
      </w:r>
      <w:r w:rsidRPr="00EA2F26">
        <w:rPr>
          <w:rFonts w:asciiTheme="minorHAnsi" w:hAnsiTheme="minorHAnsi"/>
          <w:color w:val="808080" w:themeColor="background1" w:themeShade="80"/>
        </w:rPr>
        <w:tab/>
        <w:t>Environmental Issues/Climate Change</w:t>
      </w:r>
      <w:bookmarkEnd w:id="29"/>
    </w:p>
    <w:p w:rsidR="00D02973" w:rsidRPr="00EA2F26" w:rsidRDefault="00D02973" w:rsidP="00D02973">
      <w:pPr>
        <w:tabs>
          <w:tab w:val="num" w:pos="720"/>
        </w:tabs>
        <w:jc w:val="both"/>
      </w:pPr>
      <w:r>
        <w:t>Council</w:t>
      </w:r>
      <w:r w:rsidRPr="00EA2F26">
        <w:t xml:space="preserve"> adopted the Bayside Climate Change Strategy</w:t>
      </w:r>
      <w:r w:rsidRPr="00EA2F26">
        <w:rPr>
          <w:vertAlign w:val="superscript"/>
        </w:rPr>
        <w:footnoteReference w:id="5"/>
      </w:r>
      <w:r w:rsidRPr="00EA2F26">
        <w:t xml:space="preserve"> in May 2012 that sets </w:t>
      </w:r>
      <w:r>
        <w:t>Council</w:t>
      </w:r>
      <w:r w:rsidRPr="00EA2F26">
        <w:t>’s direction in terms of environmental sustainability and adaptation to the inevitable consequences of climate change. Several ‘extreme’ risks were identified for 2030 in the preparation of this strategy regarding recreation and open space assets including:</w:t>
      </w:r>
    </w:p>
    <w:p w:rsidR="00D02973" w:rsidRPr="00EA2F26" w:rsidRDefault="00D02973" w:rsidP="00D02973">
      <w:pPr>
        <w:pStyle w:val="ListParagraph"/>
        <w:numPr>
          <w:ilvl w:val="0"/>
          <w:numId w:val="21"/>
        </w:numPr>
        <w:autoSpaceDE w:val="0"/>
        <w:autoSpaceDN w:val="0"/>
        <w:adjustRightInd w:val="0"/>
        <w:rPr>
          <w:rFonts w:cs="Calibri"/>
          <w:color w:val="000000"/>
        </w:rPr>
      </w:pPr>
      <w:r w:rsidRPr="00EA2F26">
        <w:rPr>
          <w:rFonts w:cs="Calibri"/>
          <w:color w:val="000000"/>
        </w:rPr>
        <w:t>damage of recreation and open space assets, by flooding and extreme heat.</w:t>
      </w:r>
    </w:p>
    <w:p w:rsidR="00D02973" w:rsidRPr="00EA2F26" w:rsidRDefault="00D02973" w:rsidP="00D02973">
      <w:pPr>
        <w:pStyle w:val="ListParagraph"/>
        <w:numPr>
          <w:ilvl w:val="0"/>
          <w:numId w:val="21"/>
        </w:numPr>
        <w:autoSpaceDE w:val="0"/>
        <w:autoSpaceDN w:val="0"/>
        <w:adjustRightInd w:val="0"/>
        <w:rPr>
          <w:rFonts w:cs="Calibri"/>
          <w:color w:val="000000"/>
        </w:rPr>
      </w:pPr>
      <w:r w:rsidRPr="00EA2F26">
        <w:rPr>
          <w:rFonts w:cs="Calibri"/>
          <w:color w:val="000000"/>
        </w:rPr>
        <w:t>loss of biodiversity in foreshore and inland reserves.</w:t>
      </w:r>
    </w:p>
    <w:p w:rsidR="00D02973" w:rsidRPr="00EA2F26" w:rsidRDefault="00D02973" w:rsidP="00D02973">
      <w:pPr>
        <w:pStyle w:val="ListParagraph"/>
        <w:numPr>
          <w:ilvl w:val="0"/>
          <w:numId w:val="21"/>
        </w:numPr>
        <w:autoSpaceDE w:val="0"/>
        <w:autoSpaceDN w:val="0"/>
        <w:adjustRightInd w:val="0"/>
        <w:rPr>
          <w:rFonts w:cs="Calibri"/>
          <w:color w:val="000000"/>
        </w:rPr>
      </w:pPr>
      <w:r w:rsidRPr="00EA2F26">
        <w:rPr>
          <w:rFonts w:cs="Calibri"/>
          <w:color w:val="000000"/>
        </w:rPr>
        <w:t>erosion of foreshore cliffs under extreme rainfall, wind and loss of vegetation.</w:t>
      </w:r>
    </w:p>
    <w:p w:rsidR="00D02973" w:rsidRPr="00EA2F26" w:rsidRDefault="00D02973" w:rsidP="00D02973">
      <w:pPr>
        <w:pStyle w:val="ListParagraph"/>
        <w:numPr>
          <w:ilvl w:val="0"/>
          <w:numId w:val="21"/>
        </w:numPr>
        <w:autoSpaceDE w:val="0"/>
        <w:autoSpaceDN w:val="0"/>
        <w:adjustRightInd w:val="0"/>
        <w:rPr>
          <w:rFonts w:cs="Calibri"/>
          <w:color w:val="000000"/>
        </w:rPr>
      </w:pPr>
      <w:r w:rsidRPr="00EA2F26">
        <w:rPr>
          <w:rFonts w:cs="Calibri"/>
          <w:color w:val="000000"/>
        </w:rPr>
        <w:t>vulnerability to sea level rise.</w:t>
      </w:r>
    </w:p>
    <w:p w:rsidR="00D02973" w:rsidRPr="00EA2F26" w:rsidRDefault="00D02973" w:rsidP="00D02973">
      <w:pPr>
        <w:spacing w:before="120"/>
        <w:jc w:val="both"/>
      </w:pPr>
      <w:r w:rsidRPr="00EA2F26">
        <w:t>A report “Infrastructure and Climate Change Risk Assessment for Victoria” was prepared by the CSIRO for the Victorian Government in 2007.  The report raises issues relating to infrastructure that may well be at risk due to climate change.</w:t>
      </w:r>
    </w:p>
    <w:p w:rsidR="00D02973" w:rsidRPr="00EA2F26" w:rsidRDefault="00D02973" w:rsidP="00D02973">
      <w:pPr>
        <w:spacing w:before="120"/>
        <w:jc w:val="both"/>
      </w:pPr>
      <w:r w:rsidRPr="00EA2F26">
        <w:t>Increased frequency and intensity of extreme rainfall, wind and lightning events is likely to cause significant damage to public facilities.  Accelerated degradation of materials, structures and facilities may occur through increased ground movement and changes in groundwater.</w:t>
      </w:r>
    </w:p>
    <w:p w:rsidR="00D02973" w:rsidRPr="00EA2F26" w:rsidRDefault="00D02973" w:rsidP="00D02973">
      <w:pPr>
        <w:spacing w:before="120"/>
        <w:jc w:val="both"/>
      </w:pPr>
      <w:r w:rsidRPr="00EA2F26">
        <w:t>Increased temperature and solar radiation could reduce the life of structural assets due to temperature expansion and material breakdown. This accelerated degradation of materials may reduce the life expectancy of recreation and open space assets, increasing maintenance costs and leading to potential structural failure during extreme events.</w:t>
      </w:r>
    </w:p>
    <w:p w:rsidR="00D02973" w:rsidRPr="00EA2F26" w:rsidRDefault="00D02973" w:rsidP="00D02973">
      <w:pPr>
        <w:spacing w:before="120"/>
        <w:jc w:val="both"/>
      </w:pPr>
      <w:r w:rsidRPr="00EA2F26">
        <w:lastRenderedPageBreak/>
        <w:t xml:space="preserve">From a </w:t>
      </w:r>
      <w:r>
        <w:t>Council</w:t>
      </w:r>
      <w:r w:rsidRPr="00EA2F26">
        <w:t xml:space="preserve"> infrastructure perspective, where alterations, upgrading, renewal, replacement or construction of new assets are proposed, a preliminary risk assessment needs to be undertaken as to the potential impact of climate change.</w:t>
      </w:r>
    </w:p>
    <w:p w:rsidR="00D02973" w:rsidRPr="00EA2F26" w:rsidRDefault="00D02973" w:rsidP="00D02973">
      <w:pPr>
        <w:spacing w:before="120"/>
        <w:jc w:val="both"/>
      </w:pPr>
      <w:r>
        <w:t>To enable Council</w:t>
      </w:r>
      <w:r w:rsidRPr="00EA2F26">
        <w:t xml:space="preserve"> to give consideration to elements of its recreation and open space asset stock that may be at risk, Appendix 3 is a checklist to be used to undertake this preliminary risk assessment.</w:t>
      </w:r>
    </w:p>
    <w:p w:rsidR="00D02973" w:rsidRPr="00EA2F26" w:rsidRDefault="00D02973" w:rsidP="00D02973">
      <w:pPr>
        <w:spacing w:before="120"/>
        <w:jc w:val="both"/>
      </w:pPr>
      <w:r w:rsidRPr="00EA2F26">
        <w:t>If a risk of concern is identified, a more detailed risk assessment is required.  Where any recreation and open space asset is at risk, suitable response or remedial measures need to be investigated and implemented.</w:t>
      </w:r>
    </w:p>
    <w:p w:rsidR="00D02973" w:rsidRPr="00DF2FAC" w:rsidRDefault="00D02973" w:rsidP="00D02973">
      <w:pPr>
        <w:pStyle w:val="Heading2"/>
        <w:spacing w:after="200"/>
        <w:rPr>
          <w:rFonts w:asciiTheme="minorHAnsi" w:hAnsiTheme="minorHAnsi"/>
          <w:color w:val="2E74B5" w:themeColor="accent1" w:themeShade="BF"/>
        </w:rPr>
      </w:pPr>
      <w:bookmarkStart w:id="30" w:name="_Toc448475187"/>
      <w:r w:rsidRPr="00DF2FAC">
        <w:rPr>
          <w:rFonts w:asciiTheme="minorHAnsi" w:hAnsiTheme="minorHAnsi"/>
          <w:color w:val="2E74B5" w:themeColor="accent1" w:themeShade="BF"/>
        </w:rPr>
        <w:t xml:space="preserve">3.3 </w:t>
      </w:r>
      <w:r w:rsidRPr="00DF2FAC">
        <w:rPr>
          <w:rFonts w:asciiTheme="minorHAnsi" w:hAnsiTheme="minorHAnsi"/>
          <w:color w:val="2E74B5" w:themeColor="accent1" w:themeShade="BF"/>
        </w:rPr>
        <w:tab/>
        <w:t>Asset Upgrade Strategies</w:t>
      </w:r>
      <w:bookmarkEnd w:id="30"/>
    </w:p>
    <w:p w:rsidR="00D02973" w:rsidRPr="00EA2F26" w:rsidRDefault="00D02973" w:rsidP="00D02973">
      <w:r w:rsidRPr="00EA2F26">
        <w:rPr>
          <w:noProof/>
          <w:lang w:eastAsia="en-AU"/>
        </w:rPr>
        <w:drawing>
          <wp:anchor distT="0" distB="0" distL="150876" distR="156591" simplePos="0" relativeHeight="251671552" behindDoc="0" locked="0" layoutInCell="1" allowOverlap="1" wp14:anchorId="6C0032E2" wp14:editId="5EACF712">
            <wp:simplePos x="0" y="0"/>
            <wp:positionH relativeFrom="column">
              <wp:posOffset>3204845</wp:posOffset>
            </wp:positionH>
            <wp:positionV relativeFrom="paragraph">
              <wp:posOffset>771525</wp:posOffset>
            </wp:positionV>
            <wp:extent cx="2920365" cy="2314575"/>
            <wp:effectExtent l="0" t="0" r="0" b="0"/>
            <wp:wrapSquare wrapText="bothSides"/>
            <wp:docPr id="3" name="Diagram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r w:rsidRPr="00EA2F26">
        <w:t xml:space="preserve">Bayside City </w:t>
      </w:r>
      <w:r>
        <w:t>Council</w:t>
      </w:r>
      <w:r w:rsidRPr="00EA2F26">
        <w:t xml:space="preserve"> recognises that each of the various classes of recreation and open space assets have different requirements and provide different services to the community. To this end, Asset Upgrade Strategies are required for asset categories and asset upgrades need to be linked to the service need as described in the service strategy. The strategies provide a service-driven assessment of asset performance, levels of service and future needs. Each strategy will be a reference document to the R&amp;OS-AMP and a driver for funding referenced in later sections of the R&amp;OS-AMP.</w:t>
      </w:r>
    </w:p>
    <w:p w:rsidR="00D02973" w:rsidRPr="00EA2F26" w:rsidRDefault="00D02973" w:rsidP="00D02973">
      <w:r w:rsidRPr="00EA2F26">
        <w:rPr>
          <w:rFonts w:eastAsia="Calibri" w:cs="Times New Roman"/>
          <w:noProof/>
          <w:lang w:eastAsia="en-AU"/>
        </w:rPr>
        <mc:AlternateContent>
          <mc:Choice Requires="wps">
            <w:drawing>
              <wp:anchor distT="0" distB="0" distL="114300" distR="114300" simplePos="0" relativeHeight="251672576" behindDoc="0" locked="0" layoutInCell="1" allowOverlap="1" wp14:anchorId="2C8F47D4" wp14:editId="0FC36523">
                <wp:simplePos x="0" y="0"/>
                <wp:positionH relativeFrom="page">
                  <wp:posOffset>4306570</wp:posOffset>
                </wp:positionH>
                <wp:positionV relativeFrom="paragraph">
                  <wp:posOffset>1678940</wp:posOffset>
                </wp:positionV>
                <wp:extent cx="2920365" cy="283845"/>
                <wp:effectExtent l="0" t="0" r="0" b="1905"/>
                <wp:wrapSquare wrapText="bothSides"/>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0365" cy="283845"/>
                        </a:xfrm>
                        <a:prstGeom prst="rect">
                          <a:avLst/>
                        </a:prstGeom>
                        <a:solidFill>
                          <a:prstClr val="white"/>
                        </a:solidFill>
                        <a:ln>
                          <a:noFill/>
                        </a:ln>
                        <a:effectLst/>
                      </wps:spPr>
                      <wps:txbx>
                        <w:txbxContent>
                          <w:p w:rsidR="009D45DF" w:rsidRPr="005F3C0F" w:rsidRDefault="009D45DF" w:rsidP="00D02973">
                            <w:pPr>
                              <w:pStyle w:val="Caption"/>
                              <w:spacing w:after="0"/>
                              <w:rPr>
                                <w:color w:val="auto"/>
                              </w:rPr>
                            </w:pPr>
                            <w:r w:rsidRPr="00422289">
                              <w:rPr>
                                <w:color w:val="auto"/>
                              </w:rPr>
                              <w:t xml:space="preserve">Figure </w:t>
                            </w:r>
                            <w:r>
                              <w:rPr>
                                <w:color w:val="auto"/>
                              </w:rPr>
                              <w:t>3 Relationships with Asset Upgrade Strategies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C8F47D4" id="Text Box 4" o:spid="_x0000_s1027" type="#_x0000_t202" style="position:absolute;margin-left:339.1pt;margin-top:132.2pt;width:229.95pt;height:22.3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" stroked="f">
                <v:path arrowok="t"/>
                <v:textbox style="mso-fit-shape-to-text:t" inset="0,0,0,0">
                  <w:txbxContent>
                    <w:p w:rsidR="009D45DF" w:rsidRPr="005F3C0F" w:rsidRDefault="009D45DF" w:rsidP="00D02973">
                      <w:pPr>
                        <w:pStyle w:val="Caption"/>
                        <w:spacing w:after="0"/>
                        <w:rPr>
                          <w:color w:val="auto"/>
                        </w:rPr>
                      </w:pPr>
                      <w:r w:rsidRPr="00422289">
                        <w:rPr>
                          <w:color w:val="auto"/>
                        </w:rPr>
                        <w:t xml:space="preserve">Figure </w:t>
                      </w:r>
                      <w:r>
                        <w:rPr>
                          <w:color w:val="auto"/>
                        </w:rPr>
                        <w:t>3 Relationships with Asset Upgrade Strategies</w:t>
                      </w:r>
                    </w:p>
                  </w:txbxContent>
                </v:textbox>
                <w10:wrap type="square" anchorx="page"/>
              </v:shape>
            </w:pict>
          </mc:Fallback>
        </mc:AlternateContent>
      </w:r>
      <w:r w:rsidRPr="00EA2F26">
        <w:t>Strategic Service Management Plans are required for specific asset types</w:t>
      </w:r>
      <w:r>
        <w:t>. Each subclass of open s</w:t>
      </w:r>
      <w:r w:rsidRPr="00EA2F26">
        <w:t>pace asset need to be managed in a way that reflects the specific nature of the open space and the needs of the users and the broader community and that they conform with any regulatory changes. For example, the Coastal Management Plan may be very different from the Playground Improvement Plan or Tree Strategy. In some instances site specific plans e.g. master plans will guide the management of specific areas</w:t>
      </w:r>
    </w:p>
    <w:p w:rsidR="00D02973" w:rsidRPr="00EA2F26" w:rsidRDefault="00D02973" w:rsidP="00D02973">
      <w:pPr>
        <w:pStyle w:val="Para2"/>
        <w:spacing w:after="200" w:line="276" w:lineRule="auto"/>
        <w:ind w:left="0"/>
        <w:jc w:val="both"/>
        <w:rPr>
          <w:rFonts w:asciiTheme="minorHAnsi" w:eastAsiaTheme="minorHAnsi" w:hAnsiTheme="minorHAnsi" w:cstheme="minorBidi"/>
          <w:color w:val="auto"/>
          <w:sz w:val="22"/>
          <w:szCs w:val="22"/>
          <w:lang w:val="en-AU" w:eastAsia="en-US"/>
        </w:rPr>
      </w:pPr>
      <w:r w:rsidRPr="00EA2F26">
        <w:rPr>
          <w:rFonts w:asciiTheme="minorHAnsi" w:eastAsiaTheme="minorHAnsi" w:hAnsiTheme="minorHAnsi" w:cstheme="minorBidi"/>
          <w:color w:val="auto"/>
          <w:sz w:val="22"/>
          <w:szCs w:val="22"/>
          <w:lang w:val="en-AU" w:eastAsia="en-US"/>
        </w:rPr>
        <w:t>Asset Upgrade Strategies, such as the Coastal Management</w:t>
      </w:r>
      <w:r w:rsidRPr="00EA2F26">
        <w:rPr>
          <w:rFonts w:asciiTheme="minorHAnsi" w:hAnsiTheme="minorHAnsi" w:cs="Calibri"/>
          <w:sz w:val="22"/>
          <w:szCs w:val="22"/>
        </w:rPr>
        <w:t xml:space="preserve"> Plan,</w:t>
      </w:r>
      <w:r w:rsidRPr="00EA2F26">
        <w:rPr>
          <w:rFonts w:asciiTheme="minorHAnsi" w:eastAsiaTheme="minorHAnsi" w:hAnsiTheme="minorHAnsi" w:cstheme="minorBidi"/>
          <w:color w:val="auto"/>
          <w:sz w:val="22"/>
          <w:szCs w:val="22"/>
          <w:lang w:val="en-AU" w:eastAsia="en-US"/>
        </w:rPr>
        <w:t xml:space="preserve"> provide for broad future planning and guide key funding decisions concerning: </w:t>
      </w:r>
    </w:p>
    <w:p w:rsidR="00D02973" w:rsidRPr="00EA2F26" w:rsidRDefault="00D02973" w:rsidP="00D02973">
      <w:pPr>
        <w:pStyle w:val="Para2"/>
        <w:numPr>
          <w:ilvl w:val="0"/>
          <w:numId w:val="45"/>
        </w:numPr>
        <w:spacing w:after="0" w:line="276" w:lineRule="auto"/>
        <w:jc w:val="both"/>
        <w:rPr>
          <w:rFonts w:asciiTheme="minorHAnsi" w:eastAsiaTheme="minorHAnsi" w:hAnsiTheme="minorHAnsi" w:cstheme="minorBidi"/>
          <w:color w:val="auto"/>
          <w:sz w:val="22"/>
          <w:szCs w:val="22"/>
          <w:lang w:val="en-AU" w:eastAsia="en-US"/>
        </w:rPr>
      </w:pPr>
      <w:r w:rsidRPr="00EA2F26">
        <w:rPr>
          <w:rFonts w:asciiTheme="minorHAnsi" w:eastAsiaTheme="minorHAnsi" w:hAnsiTheme="minorHAnsi" w:cstheme="minorBidi"/>
          <w:sz w:val="22"/>
          <w:szCs w:val="22"/>
          <w:lang w:eastAsia="en-US"/>
        </w:rPr>
        <w:t>Renewal</w:t>
      </w:r>
    </w:p>
    <w:p w:rsidR="00D02973" w:rsidRPr="00EA2F26" w:rsidRDefault="00D02973" w:rsidP="00D02973">
      <w:pPr>
        <w:pStyle w:val="BodyText"/>
        <w:numPr>
          <w:ilvl w:val="0"/>
          <w:numId w:val="45"/>
        </w:numPr>
        <w:spacing w:after="0" w:line="276" w:lineRule="auto"/>
        <w:jc w:val="both"/>
        <w:rPr>
          <w:rFonts w:asciiTheme="minorHAnsi" w:eastAsiaTheme="minorHAnsi" w:hAnsiTheme="minorHAnsi" w:cstheme="minorBidi"/>
          <w:sz w:val="22"/>
          <w:szCs w:val="22"/>
          <w:lang w:eastAsia="en-US"/>
        </w:rPr>
      </w:pPr>
      <w:r w:rsidRPr="00EA2F26">
        <w:rPr>
          <w:rFonts w:asciiTheme="minorHAnsi" w:eastAsiaTheme="minorHAnsi" w:hAnsiTheme="minorHAnsi" w:cstheme="minorBidi"/>
          <w:sz w:val="22"/>
          <w:szCs w:val="22"/>
          <w:lang w:eastAsia="en-US"/>
        </w:rPr>
        <w:t>Upgrade</w:t>
      </w:r>
    </w:p>
    <w:p w:rsidR="00D02973" w:rsidRPr="00EA2F26" w:rsidRDefault="00D02973" w:rsidP="00D02973">
      <w:pPr>
        <w:pStyle w:val="BodyText"/>
        <w:numPr>
          <w:ilvl w:val="0"/>
          <w:numId w:val="45"/>
        </w:numPr>
        <w:spacing w:after="0" w:line="276" w:lineRule="auto"/>
        <w:jc w:val="both"/>
        <w:rPr>
          <w:rFonts w:asciiTheme="minorHAnsi" w:eastAsiaTheme="minorHAnsi" w:hAnsiTheme="minorHAnsi" w:cstheme="minorBidi"/>
          <w:sz w:val="22"/>
          <w:szCs w:val="22"/>
          <w:lang w:eastAsia="en-US"/>
        </w:rPr>
      </w:pPr>
      <w:r w:rsidRPr="00EA2F26">
        <w:rPr>
          <w:rFonts w:asciiTheme="minorHAnsi" w:eastAsiaTheme="minorHAnsi" w:hAnsiTheme="minorHAnsi" w:cstheme="minorBidi"/>
          <w:sz w:val="22"/>
          <w:szCs w:val="22"/>
          <w:lang w:eastAsia="en-US"/>
        </w:rPr>
        <w:t>A New Asset</w:t>
      </w:r>
    </w:p>
    <w:p w:rsidR="00D02973" w:rsidRPr="00EA2F26" w:rsidRDefault="00D02973" w:rsidP="00D02973">
      <w:pPr>
        <w:pStyle w:val="BodyText"/>
        <w:numPr>
          <w:ilvl w:val="0"/>
          <w:numId w:val="45"/>
        </w:numPr>
        <w:spacing w:line="276" w:lineRule="auto"/>
        <w:jc w:val="both"/>
        <w:rPr>
          <w:rFonts w:asciiTheme="minorHAnsi" w:eastAsiaTheme="minorHAnsi" w:hAnsiTheme="minorHAnsi" w:cstheme="minorBidi"/>
          <w:sz w:val="22"/>
          <w:szCs w:val="22"/>
          <w:lang w:eastAsia="en-US"/>
        </w:rPr>
      </w:pPr>
      <w:r w:rsidRPr="00EA2F26">
        <w:rPr>
          <w:rFonts w:asciiTheme="minorHAnsi" w:eastAsiaTheme="minorHAnsi" w:hAnsiTheme="minorHAnsi" w:cstheme="minorBidi"/>
          <w:sz w:val="22"/>
          <w:szCs w:val="22"/>
          <w:lang w:eastAsia="en-US"/>
        </w:rPr>
        <w:t xml:space="preserve">Rationalisation </w:t>
      </w:r>
    </w:p>
    <w:p w:rsidR="00D02973" w:rsidRPr="00EA2F26" w:rsidRDefault="00D02973" w:rsidP="00D02973">
      <w:pPr>
        <w:pStyle w:val="BodyText"/>
        <w:spacing w:after="200" w:line="276" w:lineRule="auto"/>
        <w:jc w:val="both"/>
        <w:rPr>
          <w:rFonts w:asciiTheme="minorHAnsi" w:eastAsiaTheme="minorHAnsi" w:hAnsiTheme="minorHAnsi" w:cstheme="minorBidi"/>
          <w:sz w:val="22"/>
          <w:szCs w:val="22"/>
          <w:lang w:eastAsia="en-US"/>
        </w:rPr>
      </w:pPr>
      <w:r w:rsidRPr="00EA2F26">
        <w:rPr>
          <w:rFonts w:asciiTheme="minorHAnsi" w:eastAsiaTheme="minorHAnsi" w:hAnsiTheme="minorHAnsi" w:cstheme="minorBidi"/>
          <w:sz w:val="22"/>
          <w:szCs w:val="22"/>
          <w:lang w:eastAsia="en-US"/>
        </w:rPr>
        <w:t>The general principles to be used in the development of Asset Upgrade Strategies are:</w:t>
      </w:r>
    </w:p>
    <w:p w:rsidR="00D02973" w:rsidRPr="00EA2F26" w:rsidRDefault="00D02973" w:rsidP="00D02973">
      <w:pPr>
        <w:pStyle w:val="BodyText"/>
        <w:numPr>
          <w:ilvl w:val="0"/>
          <w:numId w:val="35"/>
        </w:numPr>
        <w:spacing w:after="0" w:line="276" w:lineRule="auto"/>
        <w:jc w:val="both"/>
        <w:rPr>
          <w:rFonts w:asciiTheme="minorHAnsi" w:eastAsiaTheme="minorHAnsi" w:hAnsiTheme="minorHAnsi" w:cstheme="minorBidi"/>
          <w:sz w:val="22"/>
          <w:szCs w:val="22"/>
          <w:lang w:eastAsia="en-US"/>
        </w:rPr>
      </w:pPr>
      <w:r w:rsidRPr="00EA2F26">
        <w:rPr>
          <w:rFonts w:asciiTheme="minorHAnsi" w:eastAsiaTheme="minorHAnsi" w:hAnsiTheme="minorHAnsi" w:cstheme="minorBidi"/>
          <w:sz w:val="22"/>
          <w:szCs w:val="22"/>
          <w:lang w:eastAsia="en-US"/>
        </w:rPr>
        <w:t xml:space="preserve">Each strategy is linked to </w:t>
      </w:r>
      <w:r>
        <w:rPr>
          <w:rFonts w:asciiTheme="minorHAnsi" w:eastAsiaTheme="minorHAnsi" w:hAnsiTheme="minorHAnsi" w:cstheme="minorBidi"/>
          <w:sz w:val="22"/>
          <w:szCs w:val="22"/>
          <w:lang w:eastAsia="en-US"/>
        </w:rPr>
        <w:t>Council</w:t>
      </w:r>
      <w:r w:rsidRPr="00EA2F26">
        <w:rPr>
          <w:rFonts w:asciiTheme="minorHAnsi" w:eastAsiaTheme="minorHAnsi" w:hAnsiTheme="minorHAnsi" w:cstheme="minorBidi"/>
          <w:sz w:val="22"/>
          <w:szCs w:val="22"/>
          <w:lang w:eastAsia="en-US"/>
        </w:rPr>
        <w:t xml:space="preserve">’s Long Term Financial Plan (LTFP) and Asset Management Policy and Strategy, </w:t>
      </w:r>
    </w:p>
    <w:p w:rsidR="00D02973" w:rsidRPr="00EA2F26" w:rsidRDefault="00D02973" w:rsidP="00D02973">
      <w:pPr>
        <w:pStyle w:val="BodyText"/>
        <w:numPr>
          <w:ilvl w:val="0"/>
          <w:numId w:val="35"/>
        </w:numPr>
        <w:spacing w:after="0" w:line="276" w:lineRule="auto"/>
        <w:jc w:val="both"/>
        <w:rPr>
          <w:rFonts w:asciiTheme="minorHAnsi" w:eastAsiaTheme="minorHAnsi" w:hAnsiTheme="minorHAnsi" w:cstheme="minorBidi"/>
          <w:sz w:val="22"/>
          <w:szCs w:val="22"/>
          <w:lang w:eastAsia="en-US"/>
        </w:rPr>
      </w:pPr>
      <w:r w:rsidRPr="00EA2F26">
        <w:rPr>
          <w:rFonts w:asciiTheme="minorHAnsi" w:eastAsiaTheme="minorHAnsi" w:hAnsiTheme="minorHAnsi" w:cstheme="minorBidi"/>
          <w:sz w:val="22"/>
          <w:szCs w:val="22"/>
          <w:lang w:eastAsia="en-US"/>
        </w:rPr>
        <w:lastRenderedPageBreak/>
        <w:t>Each  asset will  be maintained and renewed to ensure that it adheres to the required standard;</w:t>
      </w:r>
    </w:p>
    <w:p w:rsidR="00D02973" w:rsidRPr="00EA2F26" w:rsidRDefault="00D02973" w:rsidP="00D02973">
      <w:pPr>
        <w:pStyle w:val="BodyText"/>
        <w:numPr>
          <w:ilvl w:val="0"/>
          <w:numId w:val="35"/>
        </w:numPr>
        <w:spacing w:after="0" w:line="276" w:lineRule="auto"/>
        <w:jc w:val="both"/>
        <w:rPr>
          <w:rFonts w:asciiTheme="minorHAnsi" w:eastAsiaTheme="minorHAnsi" w:hAnsiTheme="minorHAnsi" w:cstheme="minorBidi"/>
          <w:sz w:val="22"/>
          <w:szCs w:val="22"/>
          <w:lang w:eastAsia="en-US"/>
        </w:rPr>
      </w:pPr>
      <w:r w:rsidRPr="00EA2F26">
        <w:rPr>
          <w:rFonts w:asciiTheme="minorHAnsi" w:hAnsiTheme="minorHAnsi"/>
          <w:sz w:val="22"/>
          <w:szCs w:val="22"/>
        </w:rPr>
        <w:t>Strategic planning and asset review processes will examine opportunities for consolidation and rationalisation;</w:t>
      </w:r>
    </w:p>
    <w:p w:rsidR="00D02973" w:rsidRPr="00EA2F26" w:rsidRDefault="00D02973" w:rsidP="00D02973">
      <w:pPr>
        <w:pStyle w:val="BodyText"/>
        <w:numPr>
          <w:ilvl w:val="0"/>
          <w:numId w:val="35"/>
        </w:numPr>
        <w:spacing w:after="0" w:line="276" w:lineRule="auto"/>
        <w:jc w:val="both"/>
        <w:rPr>
          <w:rFonts w:asciiTheme="minorHAnsi" w:hAnsiTheme="minorHAnsi"/>
        </w:rPr>
      </w:pPr>
      <w:r w:rsidRPr="00EA2F26">
        <w:rPr>
          <w:rFonts w:asciiTheme="minorHAnsi" w:hAnsiTheme="minorHAnsi"/>
          <w:sz w:val="22"/>
          <w:szCs w:val="22"/>
        </w:rPr>
        <w:t xml:space="preserve">Any major changes/upgrade to recreation and open space assets would be considered as part of </w:t>
      </w:r>
      <w:r>
        <w:rPr>
          <w:rFonts w:asciiTheme="minorHAnsi" w:hAnsiTheme="minorHAnsi"/>
          <w:sz w:val="22"/>
          <w:szCs w:val="22"/>
        </w:rPr>
        <w:t>Council</w:t>
      </w:r>
      <w:r w:rsidRPr="00EA2F26">
        <w:rPr>
          <w:rFonts w:asciiTheme="minorHAnsi" w:hAnsiTheme="minorHAnsi"/>
          <w:sz w:val="22"/>
          <w:szCs w:val="22"/>
        </w:rPr>
        <w:t>’s Capital Works evaluation process;</w:t>
      </w:r>
    </w:p>
    <w:p w:rsidR="00D02973" w:rsidRPr="00EA2F26" w:rsidRDefault="00D02973" w:rsidP="00D02973">
      <w:pPr>
        <w:pStyle w:val="BodyText"/>
        <w:numPr>
          <w:ilvl w:val="0"/>
          <w:numId w:val="35"/>
        </w:numPr>
        <w:spacing w:after="0" w:line="276" w:lineRule="auto"/>
        <w:jc w:val="both"/>
        <w:rPr>
          <w:rFonts w:asciiTheme="minorHAnsi" w:eastAsiaTheme="minorHAnsi" w:hAnsiTheme="minorHAnsi" w:cstheme="minorBidi"/>
          <w:sz w:val="22"/>
          <w:szCs w:val="22"/>
          <w:lang w:eastAsia="en-US"/>
        </w:rPr>
      </w:pPr>
      <w:r w:rsidRPr="00EA2F26">
        <w:rPr>
          <w:rFonts w:asciiTheme="minorHAnsi" w:eastAsiaTheme="minorHAnsi" w:hAnsiTheme="minorHAnsi" w:cstheme="minorBidi"/>
          <w:sz w:val="22"/>
          <w:szCs w:val="22"/>
          <w:lang w:eastAsia="en-US"/>
        </w:rPr>
        <w:t xml:space="preserve">A whole of </w:t>
      </w:r>
      <w:r>
        <w:rPr>
          <w:rFonts w:asciiTheme="minorHAnsi" w:eastAsiaTheme="minorHAnsi" w:hAnsiTheme="minorHAnsi" w:cstheme="minorBidi"/>
          <w:sz w:val="22"/>
          <w:szCs w:val="22"/>
          <w:lang w:eastAsia="en-US"/>
        </w:rPr>
        <w:t>Council</w:t>
      </w:r>
      <w:r w:rsidRPr="00EA2F26">
        <w:rPr>
          <w:rFonts w:asciiTheme="minorHAnsi" w:eastAsiaTheme="minorHAnsi" w:hAnsiTheme="minorHAnsi" w:cstheme="minorBidi"/>
          <w:sz w:val="22"/>
          <w:szCs w:val="22"/>
          <w:lang w:eastAsia="en-US"/>
        </w:rPr>
        <w:t xml:space="preserve"> approach will be taken to ongoing management of recreation and open spaces assets.  This recognises that the maintenance and renewal of assets will be at a consistent level.  Additionally, it will be incumbent on all of the service areas involved in the elements of the management to ensure that overall upkeep is consistent;</w:t>
      </w:r>
    </w:p>
    <w:p w:rsidR="00D02973" w:rsidRPr="00EA2F26" w:rsidRDefault="00D02973" w:rsidP="00D02973">
      <w:pPr>
        <w:pStyle w:val="BodyText"/>
        <w:numPr>
          <w:ilvl w:val="0"/>
          <w:numId w:val="35"/>
        </w:numPr>
        <w:spacing w:after="0" w:line="276" w:lineRule="auto"/>
        <w:jc w:val="both"/>
        <w:rPr>
          <w:rFonts w:asciiTheme="minorHAnsi" w:eastAsiaTheme="minorHAnsi" w:hAnsiTheme="minorHAnsi" w:cstheme="minorBidi"/>
          <w:sz w:val="22"/>
          <w:szCs w:val="22"/>
          <w:lang w:eastAsia="en-US"/>
        </w:rPr>
      </w:pPr>
      <w:r w:rsidRPr="00EA2F26">
        <w:rPr>
          <w:rFonts w:asciiTheme="minorHAnsi" w:eastAsiaTheme="minorHAnsi" w:hAnsiTheme="minorHAnsi" w:cstheme="minorBidi"/>
          <w:sz w:val="22"/>
          <w:szCs w:val="22"/>
          <w:lang w:eastAsia="en-US"/>
        </w:rPr>
        <w:t>Strategic planning and asset review processes will seek to minimise net loss of open space;</w:t>
      </w:r>
    </w:p>
    <w:p w:rsidR="00D02973" w:rsidRPr="00EA2F26" w:rsidRDefault="00D02973" w:rsidP="00D02973">
      <w:pPr>
        <w:pStyle w:val="BodyText"/>
        <w:numPr>
          <w:ilvl w:val="0"/>
          <w:numId w:val="35"/>
        </w:numPr>
        <w:spacing w:after="0" w:line="276" w:lineRule="auto"/>
        <w:jc w:val="both"/>
        <w:rPr>
          <w:rFonts w:asciiTheme="minorHAnsi" w:eastAsiaTheme="minorHAnsi" w:hAnsiTheme="minorHAnsi" w:cstheme="minorBidi"/>
          <w:sz w:val="22"/>
          <w:szCs w:val="22"/>
          <w:lang w:eastAsia="en-US"/>
        </w:rPr>
      </w:pPr>
      <w:r w:rsidRPr="00EA2F26">
        <w:rPr>
          <w:rFonts w:asciiTheme="minorHAnsi" w:eastAsiaTheme="minorHAnsi" w:hAnsiTheme="minorHAnsi" w:cstheme="minorBidi"/>
          <w:sz w:val="22"/>
          <w:szCs w:val="22"/>
          <w:lang w:eastAsia="en-US"/>
        </w:rPr>
        <w:t>The funding strategy process is about identifying each structure’s renewal and/or upgrade requirements and providing the appropriate funds, in a timely manner to meet service needs.  Securing external funding should be explored where appropriate;</w:t>
      </w:r>
    </w:p>
    <w:p w:rsidR="00D02973" w:rsidRPr="00EA2F26" w:rsidRDefault="00D02973" w:rsidP="00D02973">
      <w:pPr>
        <w:pStyle w:val="BodyText"/>
        <w:numPr>
          <w:ilvl w:val="0"/>
          <w:numId w:val="35"/>
        </w:numPr>
        <w:spacing w:after="200" w:line="276" w:lineRule="auto"/>
        <w:jc w:val="both"/>
        <w:rPr>
          <w:rFonts w:asciiTheme="minorHAnsi" w:eastAsiaTheme="minorHAnsi" w:hAnsiTheme="minorHAnsi" w:cstheme="minorBidi"/>
          <w:sz w:val="22"/>
          <w:szCs w:val="22"/>
          <w:lang w:eastAsia="en-US"/>
        </w:rPr>
      </w:pPr>
      <w:r w:rsidRPr="00EA2F26">
        <w:rPr>
          <w:rFonts w:asciiTheme="minorHAnsi" w:eastAsiaTheme="minorHAnsi" w:hAnsiTheme="minorHAnsi" w:cstheme="minorBidi"/>
          <w:sz w:val="22"/>
          <w:szCs w:val="22"/>
          <w:lang w:eastAsia="en-US"/>
        </w:rPr>
        <w:t>Initial estimates within the strategy will be broad and based on aggregated information;</w:t>
      </w:r>
    </w:p>
    <w:p w:rsidR="00D02973" w:rsidRPr="00EA2F26" w:rsidRDefault="00D02973" w:rsidP="00D02973">
      <w:pPr>
        <w:pStyle w:val="Para2"/>
        <w:spacing w:after="200" w:line="276" w:lineRule="auto"/>
        <w:ind w:left="0"/>
        <w:jc w:val="both"/>
        <w:rPr>
          <w:rFonts w:asciiTheme="minorHAnsi" w:hAnsiTheme="minorHAnsi"/>
        </w:rPr>
      </w:pPr>
      <w:r w:rsidRPr="00EA2F26">
        <w:rPr>
          <w:rFonts w:asciiTheme="minorHAnsi" w:eastAsiaTheme="minorHAnsi" w:hAnsiTheme="minorHAnsi" w:cstheme="minorBidi"/>
          <w:color w:val="auto"/>
          <w:sz w:val="22"/>
          <w:szCs w:val="22"/>
          <w:lang w:val="en-AU" w:eastAsia="en-US"/>
        </w:rPr>
        <w:t>The Asset Upgrade Strategies which provide guidance to the R&amp;OS-AMP are listed in Table 3 below. Several of these strategies are still in draft, or are yet to commence. The status of scheduling development of these plans is illustrated in the following table together with a list of other plans and strategies that may influence service planning. As discussed earlier, the meeting of community need at the neighbourhood level needs to be understood through the development of place-based strategies so that services can be consolidated, asset use is optimised and cost savings realised. Such place-based strategies need to be cross referenced with Asset Upgrade Strategies when available.</w:t>
      </w:r>
    </w:p>
    <w:p w:rsidR="00D02973" w:rsidRPr="00EA2F26" w:rsidRDefault="00D02973" w:rsidP="00D02973">
      <w:pPr>
        <w:rPr>
          <w:b/>
        </w:rPr>
      </w:pPr>
      <w:r w:rsidRPr="00EA2F26">
        <w:rPr>
          <w:b/>
        </w:rPr>
        <w:t>Table 3: Status of Development of Strategic Service Management Plans</w:t>
      </w:r>
      <w:r>
        <w:rPr>
          <w:rStyle w:val="FootnoteReference"/>
          <w:b/>
        </w:rPr>
        <w:footnoteReference w:id="6"/>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6066"/>
        <w:gridCol w:w="1701"/>
      </w:tblGrid>
      <w:tr w:rsidR="00D02973" w:rsidRPr="00EA2F26" w:rsidTr="00DF2FAC">
        <w:tc>
          <w:tcPr>
            <w:tcW w:w="1413" w:type="dxa"/>
            <w:shd w:val="clear" w:color="auto" w:fill="000000"/>
          </w:tcPr>
          <w:p w:rsidR="00D02973" w:rsidRPr="00EA2F26" w:rsidRDefault="00D02973" w:rsidP="00DF2FAC">
            <w:pPr>
              <w:spacing w:before="120"/>
              <w:jc w:val="both"/>
              <w:rPr>
                <w:rFonts w:eastAsia="Calibri" w:cs="Times New Roman"/>
                <w:b/>
                <w:sz w:val="20"/>
                <w:szCs w:val="20"/>
              </w:rPr>
            </w:pPr>
            <w:r w:rsidRPr="00EA2F26">
              <w:rPr>
                <w:rFonts w:eastAsia="Calibri" w:cs="Times New Roman"/>
                <w:b/>
                <w:sz w:val="20"/>
                <w:szCs w:val="20"/>
              </w:rPr>
              <w:t>Asset Category</w:t>
            </w:r>
          </w:p>
        </w:tc>
        <w:tc>
          <w:tcPr>
            <w:tcW w:w="6066" w:type="dxa"/>
            <w:shd w:val="clear" w:color="auto" w:fill="000000"/>
          </w:tcPr>
          <w:p w:rsidR="00D02973" w:rsidRPr="00EA2F26" w:rsidRDefault="00D02973" w:rsidP="00DF2FAC">
            <w:pPr>
              <w:spacing w:before="120"/>
              <w:jc w:val="both"/>
              <w:rPr>
                <w:rFonts w:eastAsia="Calibri" w:cs="Times New Roman"/>
                <w:b/>
                <w:sz w:val="20"/>
                <w:szCs w:val="20"/>
              </w:rPr>
            </w:pPr>
            <w:r w:rsidRPr="00EA2F26">
              <w:rPr>
                <w:rFonts w:eastAsia="Calibri" w:cs="Times New Roman"/>
                <w:b/>
                <w:sz w:val="20"/>
                <w:szCs w:val="20"/>
              </w:rPr>
              <w:t>Strategic Plans</w:t>
            </w:r>
          </w:p>
        </w:tc>
        <w:tc>
          <w:tcPr>
            <w:tcW w:w="1701" w:type="dxa"/>
            <w:shd w:val="clear" w:color="auto" w:fill="000000"/>
          </w:tcPr>
          <w:p w:rsidR="00D02973" w:rsidRPr="00EA2F26" w:rsidRDefault="00D02973" w:rsidP="00DF2FAC">
            <w:pPr>
              <w:spacing w:before="120"/>
              <w:jc w:val="both"/>
              <w:rPr>
                <w:rFonts w:eastAsia="Calibri" w:cs="Times New Roman"/>
                <w:b/>
                <w:sz w:val="20"/>
                <w:szCs w:val="20"/>
              </w:rPr>
            </w:pPr>
            <w:r w:rsidRPr="00EA2F26">
              <w:rPr>
                <w:rFonts w:eastAsia="Calibri" w:cs="Times New Roman"/>
                <w:b/>
                <w:sz w:val="20"/>
                <w:szCs w:val="20"/>
              </w:rPr>
              <w:t xml:space="preserve">Status  </w:t>
            </w:r>
          </w:p>
        </w:tc>
      </w:tr>
      <w:tr w:rsidR="00D02973" w:rsidRPr="00EA2F26" w:rsidTr="00DF2FAC">
        <w:tc>
          <w:tcPr>
            <w:tcW w:w="1413" w:type="dxa"/>
            <w:vAlign w:val="center"/>
          </w:tcPr>
          <w:p w:rsidR="00D02973" w:rsidRPr="00EA2F26" w:rsidRDefault="00D02973" w:rsidP="00DF2FAC">
            <w:pPr>
              <w:spacing w:after="0"/>
              <w:rPr>
                <w:rFonts w:eastAsia="Calibri" w:cs="Calibri"/>
                <w:sz w:val="20"/>
                <w:szCs w:val="20"/>
                <w:lang w:eastAsia="en-AU"/>
              </w:rPr>
            </w:pPr>
            <w:r w:rsidRPr="00EA2F26">
              <w:rPr>
                <w:rFonts w:eastAsia="Calibri" w:cs="Calibri"/>
                <w:sz w:val="20"/>
                <w:szCs w:val="20"/>
                <w:lang w:eastAsia="en-AU"/>
              </w:rPr>
              <w:t>General</w:t>
            </w:r>
          </w:p>
        </w:tc>
        <w:tc>
          <w:tcPr>
            <w:tcW w:w="6066" w:type="dxa"/>
          </w:tcPr>
          <w:p w:rsidR="00D02973" w:rsidRPr="00EA2F26" w:rsidRDefault="00D02973" w:rsidP="00DF2FAC">
            <w:pPr>
              <w:spacing w:before="80" w:after="0"/>
              <w:rPr>
                <w:rFonts w:eastAsia="Calibri" w:cs="Calibri"/>
                <w:sz w:val="20"/>
                <w:szCs w:val="20"/>
                <w:lang w:eastAsia="en-AU"/>
              </w:rPr>
            </w:pPr>
            <w:r w:rsidRPr="00EA2F26">
              <w:rPr>
                <w:rFonts w:eastAsia="Calibri" w:cs="Calibri"/>
                <w:sz w:val="20"/>
                <w:szCs w:val="20"/>
                <w:lang w:eastAsia="en-AU"/>
              </w:rPr>
              <w:t>Open Space Strategy (2012)</w:t>
            </w:r>
          </w:p>
          <w:p w:rsidR="00D02973" w:rsidRPr="00EA2F26" w:rsidRDefault="00D02973" w:rsidP="00DF2FAC">
            <w:pPr>
              <w:spacing w:before="80" w:after="0"/>
              <w:rPr>
                <w:rFonts w:eastAsia="Calibri" w:cs="Calibri"/>
                <w:sz w:val="20"/>
                <w:szCs w:val="20"/>
                <w:lang w:eastAsia="en-AU"/>
              </w:rPr>
            </w:pPr>
            <w:r w:rsidRPr="00EA2F26">
              <w:rPr>
                <w:rFonts w:eastAsia="Calibri" w:cs="Calibri"/>
                <w:sz w:val="20"/>
                <w:szCs w:val="20"/>
                <w:lang w:eastAsia="en-AU"/>
              </w:rPr>
              <w:t>Active by the Bay Recreation Strategy (2013-2022)</w:t>
            </w:r>
          </w:p>
          <w:p w:rsidR="00D02973" w:rsidRPr="00EA2F26" w:rsidRDefault="00D02973" w:rsidP="00DF2FAC">
            <w:pPr>
              <w:spacing w:before="80" w:after="0"/>
              <w:jc w:val="both"/>
              <w:rPr>
                <w:rFonts w:eastAsia="Calibri" w:cs="Calibri"/>
                <w:sz w:val="20"/>
                <w:szCs w:val="20"/>
                <w:lang w:eastAsia="en-AU"/>
              </w:rPr>
            </w:pPr>
            <w:r w:rsidRPr="00EA2F26">
              <w:rPr>
                <w:rFonts w:eastAsia="Calibri" w:cs="Calibri"/>
                <w:sz w:val="20"/>
                <w:szCs w:val="20"/>
                <w:lang w:eastAsia="en-AU"/>
              </w:rPr>
              <w:t>Wellbeing for All Ages and Abilities (2013-2017)</w:t>
            </w:r>
          </w:p>
          <w:p w:rsidR="00D02973" w:rsidRPr="00EA2F26" w:rsidRDefault="00D02973" w:rsidP="00DF2FAC">
            <w:pPr>
              <w:spacing w:before="80" w:after="0"/>
              <w:rPr>
                <w:rFonts w:eastAsia="Calibri" w:cs="Calibri"/>
                <w:sz w:val="20"/>
                <w:szCs w:val="20"/>
                <w:lang w:eastAsia="en-AU"/>
              </w:rPr>
            </w:pPr>
            <w:r w:rsidRPr="00EA2F26">
              <w:rPr>
                <w:rFonts w:eastAsia="Calibri" w:cs="Calibri"/>
                <w:sz w:val="20"/>
                <w:szCs w:val="20"/>
                <w:lang w:eastAsia="en-AU"/>
              </w:rPr>
              <w:t>Aging Well in Bayside Strategy</w:t>
            </w:r>
          </w:p>
        </w:tc>
        <w:tc>
          <w:tcPr>
            <w:tcW w:w="1701" w:type="dxa"/>
          </w:tcPr>
          <w:p w:rsidR="00D02973" w:rsidRPr="00EA2F26" w:rsidRDefault="00D02973" w:rsidP="00DF2FAC">
            <w:pPr>
              <w:spacing w:before="80" w:after="0"/>
              <w:rPr>
                <w:rFonts w:eastAsia="Calibri" w:cs="Calibri"/>
                <w:sz w:val="20"/>
                <w:szCs w:val="20"/>
                <w:lang w:eastAsia="en-AU"/>
              </w:rPr>
            </w:pPr>
            <w:r w:rsidRPr="00EA2F26">
              <w:rPr>
                <w:rFonts w:eastAsia="Calibri" w:cs="Calibri"/>
                <w:sz w:val="20"/>
                <w:szCs w:val="20"/>
                <w:lang w:eastAsia="en-AU"/>
              </w:rPr>
              <w:t>Completed 2012</w:t>
            </w:r>
          </w:p>
          <w:p w:rsidR="00D02973" w:rsidRPr="00EA2F26" w:rsidRDefault="00D02973" w:rsidP="00DF2FAC">
            <w:pPr>
              <w:spacing w:before="80" w:after="0"/>
              <w:rPr>
                <w:rFonts w:eastAsia="Calibri" w:cs="Calibri"/>
                <w:sz w:val="20"/>
                <w:szCs w:val="20"/>
                <w:lang w:eastAsia="en-AU"/>
              </w:rPr>
            </w:pPr>
            <w:r w:rsidRPr="00EA2F26">
              <w:rPr>
                <w:rFonts w:eastAsia="Calibri" w:cs="Calibri"/>
                <w:sz w:val="20"/>
                <w:szCs w:val="20"/>
                <w:lang w:eastAsia="en-AU"/>
              </w:rPr>
              <w:t>Completed 2013</w:t>
            </w:r>
          </w:p>
          <w:p w:rsidR="00D02973" w:rsidRPr="00EA2F26" w:rsidRDefault="00D02973" w:rsidP="00DF2FAC">
            <w:pPr>
              <w:spacing w:before="80" w:after="0"/>
              <w:rPr>
                <w:rFonts w:eastAsia="Calibri" w:cs="Calibri"/>
                <w:sz w:val="20"/>
                <w:szCs w:val="20"/>
                <w:lang w:eastAsia="en-AU"/>
              </w:rPr>
            </w:pPr>
            <w:r w:rsidRPr="00EA2F26">
              <w:rPr>
                <w:rFonts w:eastAsia="Calibri" w:cs="Calibri"/>
                <w:sz w:val="20"/>
                <w:szCs w:val="20"/>
                <w:lang w:eastAsia="en-AU"/>
              </w:rPr>
              <w:t>Completed 2013</w:t>
            </w:r>
          </w:p>
        </w:tc>
      </w:tr>
      <w:tr w:rsidR="00D02973" w:rsidRPr="00EA2F26" w:rsidTr="00DF2FAC">
        <w:tc>
          <w:tcPr>
            <w:tcW w:w="1413" w:type="dxa"/>
            <w:vAlign w:val="center"/>
          </w:tcPr>
          <w:p w:rsidR="00D02973" w:rsidRPr="00EA2F26" w:rsidRDefault="00D02973" w:rsidP="00DF2FAC">
            <w:pPr>
              <w:spacing w:before="80" w:after="0"/>
              <w:rPr>
                <w:rFonts w:eastAsia="Calibri" w:cs="Calibri"/>
                <w:sz w:val="20"/>
                <w:szCs w:val="20"/>
                <w:lang w:eastAsia="en-AU"/>
              </w:rPr>
            </w:pPr>
            <w:r w:rsidRPr="00EA2F26">
              <w:rPr>
                <w:rFonts w:eastAsia="Calibri" w:cs="Calibri"/>
                <w:sz w:val="20"/>
                <w:szCs w:val="20"/>
                <w:lang w:eastAsia="en-AU"/>
              </w:rPr>
              <w:t>Parks</w:t>
            </w:r>
          </w:p>
        </w:tc>
        <w:tc>
          <w:tcPr>
            <w:tcW w:w="6066" w:type="dxa"/>
          </w:tcPr>
          <w:p w:rsidR="00D02973" w:rsidRPr="00EA2F26" w:rsidRDefault="00D02973" w:rsidP="00DF2FAC">
            <w:pPr>
              <w:tabs>
                <w:tab w:val="left" w:pos="187"/>
              </w:tabs>
              <w:spacing w:before="80" w:after="0"/>
              <w:rPr>
                <w:rFonts w:eastAsia="Calibri" w:cs="Calibri"/>
                <w:sz w:val="20"/>
                <w:szCs w:val="20"/>
                <w:lang w:eastAsia="en-AU"/>
              </w:rPr>
            </w:pPr>
            <w:r>
              <w:rPr>
                <w:rFonts w:eastAsia="Calibri" w:cs="Calibri"/>
                <w:sz w:val="20"/>
                <w:szCs w:val="20"/>
                <w:lang w:eastAsia="en-AU"/>
              </w:rPr>
              <w:t>Cheltenham Park Master P</w:t>
            </w:r>
            <w:r w:rsidRPr="00EA2F26">
              <w:rPr>
                <w:rFonts w:eastAsia="Calibri" w:cs="Calibri"/>
                <w:sz w:val="20"/>
                <w:szCs w:val="20"/>
                <w:lang w:eastAsia="en-AU"/>
              </w:rPr>
              <w:t xml:space="preserve">lan </w:t>
            </w:r>
          </w:p>
          <w:p w:rsidR="00D02973" w:rsidRPr="00EA2F26" w:rsidRDefault="00D02973" w:rsidP="00DF2FAC">
            <w:pPr>
              <w:tabs>
                <w:tab w:val="left" w:pos="187"/>
              </w:tabs>
              <w:spacing w:before="80" w:after="0"/>
              <w:rPr>
                <w:rFonts w:eastAsia="Calibri" w:cs="Calibri"/>
                <w:sz w:val="20"/>
                <w:szCs w:val="20"/>
                <w:lang w:eastAsia="en-AU"/>
              </w:rPr>
            </w:pPr>
            <w:r w:rsidRPr="00EA2F26">
              <w:rPr>
                <w:rFonts w:eastAsia="Calibri" w:cs="Calibri"/>
                <w:sz w:val="20"/>
                <w:szCs w:val="20"/>
                <w:lang w:eastAsia="en-AU"/>
              </w:rPr>
              <w:t xml:space="preserve">Hurlingham Park Master Plan Bayside City </w:t>
            </w:r>
            <w:r>
              <w:rPr>
                <w:rFonts w:eastAsia="Calibri" w:cs="Calibri"/>
                <w:sz w:val="20"/>
                <w:szCs w:val="20"/>
                <w:lang w:eastAsia="en-AU"/>
              </w:rPr>
              <w:t>Council</w:t>
            </w:r>
            <w:r w:rsidRPr="00EA2F26">
              <w:rPr>
                <w:rFonts w:eastAsia="Calibri" w:cs="Calibri"/>
                <w:sz w:val="20"/>
                <w:szCs w:val="20"/>
                <w:lang w:eastAsia="en-AU"/>
              </w:rPr>
              <w:t xml:space="preserve"> (2013)</w:t>
            </w:r>
          </w:p>
          <w:p w:rsidR="00D02973" w:rsidRDefault="00D02973" w:rsidP="00DF2FAC">
            <w:pPr>
              <w:tabs>
                <w:tab w:val="left" w:pos="187"/>
              </w:tabs>
              <w:spacing w:before="80" w:after="0"/>
              <w:jc w:val="both"/>
              <w:rPr>
                <w:rFonts w:eastAsia="Calibri" w:cs="Calibri"/>
                <w:sz w:val="20"/>
                <w:szCs w:val="20"/>
                <w:lang w:eastAsia="en-AU"/>
              </w:rPr>
            </w:pPr>
            <w:r>
              <w:rPr>
                <w:rFonts w:eastAsia="Calibri" w:cs="Calibri"/>
                <w:sz w:val="20"/>
                <w:szCs w:val="20"/>
                <w:lang w:eastAsia="en-AU"/>
              </w:rPr>
              <w:t>Elsternwick Park Master P</w:t>
            </w:r>
            <w:r w:rsidRPr="00EA2F26">
              <w:rPr>
                <w:rFonts w:eastAsia="Calibri" w:cs="Calibri"/>
                <w:sz w:val="20"/>
                <w:szCs w:val="20"/>
                <w:lang w:eastAsia="en-AU"/>
              </w:rPr>
              <w:t xml:space="preserve">lan </w:t>
            </w:r>
          </w:p>
          <w:p w:rsidR="00D02973" w:rsidRPr="00EA2F26" w:rsidRDefault="00D02973" w:rsidP="00DF2FAC">
            <w:pPr>
              <w:tabs>
                <w:tab w:val="left" w:pos="187"/>
              </w:tabs>
              <w:spacing w:before="80" w:after="0"/>
              <w:jc w:val="both"/>
              <w:rPr>
                <w:rFonts w:eastAsia="Calibri" w:cs="Calibri"/>
                <w:sz w:val="20"/>
                <w:szCs w:val="20"/>
                <w:lang w:eastAsia="en-AU"/>
              </w:rPr>
            </w:pPr>
            <w:r>
              <w:rPr>
                <w:rFonts w:eastAsia="Calibri" w:cs="Calibri"/>
                <w:sz w:val="20"/>
                <w:szCs w:val="20"/>
                <w:lang w:eastAsia="en-AU"/>
              </w:rPr>
              <w:t>Dendy Park Master Plan</w:t>
            </w:r>
          </w:p>
        </w:tc>
        <w:tc>
          <w:tcPr>
            <w:tcW w:w="1701" w:type="dxa"/>
          </w:tcPr>
          <w:p w:rsidR="00D02973" w:rsidRPr="00EA2F26" w:rsidRDefault="00D02973" w:rsidP="00DF2FAC">
            <w:pPr>
              <w:tabs>
                <w:tab w:val="left" w:pos="187"/>
              </w:tabs>
              <w:spacing w:before="80" w:after="0"/>
              <w:rPr>
                <w:rFonts w:eastAsia="Calibri" w:cs="Calibri"/>
                <w:sz w:val="20"/>
                <w:szCs w:val="20"/>
                <w:lang w:eastAsia="en-AU"/>
              </w:rPr>
            </w:pPr>
            <w:r w:rsidRPr="00EA2F26">
              <w:rPr>
                <w:rFonts w:eastAsia="Calibri" w:cs="Calibri"/>
                <w:sz w:val="20"/>
                <w:szCs w:val="20"/>
                <w:lang w:eastAsia="en-AU"/>
              </w:rPr>
              <w:t>Completed 2012</w:t>
            </w:r>
          </w:p>
          <w:p w:rsidR="00D02973" w:rsidRPr="00EA2F26" w:rsidRDefault="00D02973" w:rsidP="00DF2FAC">
            <w:pPr>
              <w:tabs>
                <w:tab w:val="left" w:pos="187"/>
              </w:tabs>
              <w:spacing w:before="80" w:after="0"/>
              <w:rPr>
                <w:rFonts w:eastAsia="Calibri" w:cs="Calibri"/>
                <w:sz w:val="20"/>
                <w:szCs w:val="20"/>
                <w:lang w:eastAsia="en-AU"/>
              </w:rPr>
            </w:pPr>
            <w:r w:rsidRPr="00EA2F26">
              <w:rPr>
                <w:rFonts w:eastAsia="Calibri" w:cs="Calibri"/>
                <w:sz w:val="20"/>
                <w:szCs w:val="20"/>
                <w:lang w:eastAsia="en-AU"/>
              </w:rPr>
              <w:t>Completed 2013</w:t>
            </w:r>
          </w:p>
          <w:p w:rsidR="00D02973" w:rsidRDefault="00D02973" w:rsidP="00DF2FAC">
            <w:pPr>
              <w:tabs>
                <w:tab w:val="left" w:pos="187"/>
              </w:tabs>
              <w:spacing w:before="80" w:after="0"/>
              <w:rPr>
                <w:rFonts w:eastAsia="Calibri" w:cs="Calibri"/>
                <w:sz w:val="20"/>
                <w:szCs w:val="20"/>
                <w:lang w:eastAsia="en-AU"/>
              </w:rPr>
            </w:pPr>
            <w:r w:rsidRPr="00EA2F26">
              <w:rPr>
                <w:rFonts w:eastAsia="Calibri" w:cs="Calibri"/>
                <w:sz w:val="20"/>
                <w:szCs w:val="20"/>
                <w:lang w:eastAsia="en-AU"/>
              </w:rPr>
              <w:t>Due 2016</w:t>
            </w:r>
          </w:p>
          <w:p w:rsidR="00D02973" w:rsidRPr="00EA2F26" w:rsidRDefault="00D02973" w:rsidP="00DF2FAC">
            <w:pPr>
              <w:tabs>
                <w:tab w:val="left" w:pos="187"/>
              </w:tabs>
              <w:spacing w:before="80" w:after="0"/>
              <w:rPr>
                <w:rFonts w:eastAsia="Calibri" w:cs="Calibri"/>
                <w:sz w:val="20"/>
                <w:szCs w:val="20"/>
                <w:lang w:eastAsia="en-AU"/>
              </w:rPr>
            </w:pPr>
            <w:r>
              <w:rPr>
                <w:rFonts w:eastAsia="Calibri" w:cs="Calibri"/>
                <w:sz w:val="20"/>
                <w:szCs w:val="20"/>
                <w:lang w:eastAsia="en-AU"/>
              </w:rPr>
              <w:t>Completed 2014</w:t>
            </w:r>
          </w:p>
        </w:tc>
      </w:tr>
      <w:tr w:rsidR="00D02973" w:rsidRPr="00EA2F26" w:rsidTr="00DF2FAC">
        <w:tc>
          <w:tcPr>
            <w:tcW w:w="1413" w:type="dxa"/>
            <w:vAlign w:val="center"/>
          </w:tcPr>
          <w:p w:rsidR="00D02973" w:rsidRPr="00EA2F26" w:rsidRDefault="00D02973" w:rsidP="00DF2FAC">
            <w:pPr>
              <w:spacing w:before="80" w:after="0"/>
              <w:rPr>
                <w:rFonts w:eastAsia="Calibri" w:cs="Calibri"/>
                <w:sz w:val="20"/>
                <w:szCs w:val="20"/>
                <w:lang w:eastAsia="en-AU"/>
              </w:rPr>
            </w:pPr>
            <w:r w:rsidRPr="00EA2F26">
              <w:rPr>
                <w:rFonts w:eastAsia="Calibri" w:cs="Calibri"/>
                <w:sz w:val="20"/>
                <w:szCs w:val="20"/>
                <w:lang w:eastAsia="en-AU"/>
              </w:rPr>
              <w:t>Foreshore</w:t>
            </w:r>
          </w:p>
        </w:tc>
        <w:tc>
          <w:tcPr>
            <w:tcW w:w="6066" w:type="dxa"/>
          </w:tcPr>
          <w:p w:rsidR="00D02973" w:rsidRPr="00EA2F26" w:rsidRDefault="00D02973" w:rsidP="00DF2FAC">
            <w:pPr>
              <w:tabs>
                <w:tab w:val="left" w:pos="217"/>
              </w:tabs>
              <w:spacing w:before="80" w:after="0"/>
              <w:jc w:val="both"/>
              <w:rPr>
                <w:rFonts w:eastAsia="Calibri" w:cs="Calibri"/>
                <w:sz w:val="20"/>
                <w:szCs w:val="20"/>
                <w:lang w:eastAsia="en-AU"/>
              </w:rPr>
            </w:pPr>
            <w:r w:rsidRPr="00EA2F26">
              <w:rPr>
                <w:rFonts w:eastAsia="Calibri" w:cs="Calibri"/>
                <w:sz w:val="20"/>
                <w:szCs w:val="20"/>
                <w:lang w:eastAsia="en-AU"/>
              </w:rPr>
              <w:t>Bayside Coastal Management Plan (2013)</w:t>
            </w:r>
          </w:p>
          <w:p w:rsidR="00D02973" w:rsidRPr="00EA2F26" w:rsidRDefault="00D02973" w:rsidP="00DF2FAC">
            <w:pPr>
              <w:tabs>
                <w:tab w:val="left" w:pos="217"/>
              </w:tabs>
              <w:spacing w:before="80" w:after="0"/>
              <w:jc w:val="both"/>
              <w:rPr>
                <w:rFonts w:eastAsia="Calibri" w:cs="Calibri"/>
                <w:sz w:val="20"/>
                <w:szCs w:val="20"/>
                <w:lang w:eastAsia="en-AU"/>
              </w:rPr>
            </w:pPr>
            <w:r w:rsidRPr="00EA2F26">
              <w:rPr>
                <w:rFonts w:eastAsia="Calibri" w:cs="Calibri"/>
                <w:sz w:val="20"/>
                <w:szCs w:val="20"/>
                <w:lang w:eastAsia="en-AU"/>
              </w:rPr>
              <w:t>Sandringham Foreshore Coastal Management Plan (2010)</w:t>
            </w:r>
          </w:p>
          <w:p w:rsidR="00D02973" w:rsidRPr="00EA2F26" w:rsidRDefault="00D02973" w:rsidP="00DF2FAC">
            <w:pPr>
              <w:tabs>
                <w:tab w:val="left" w:pos="217"/>
              </w:tabs>
              <w:spacing w:before="80" w:after="0"/>
              <w:jc w:val="both"/>
              <w:rPr>
                <w:rFonts w:eastAsia="Calibri" w:cs="Calibri"/>
                <w:sz w:val="20"/>
                <w:szCs w:val="20"/>
                <w:lang w:eastAsia="en-AU"/>
              </w:rPr>
            </w:pPr>
            <w:r w:rsidRPr="00EA2F26">
              <w:rPr>
                <w:rFonts w:eastAsia="Calibri" w:cs="Calibri"/>
                <w:sz w:val="20"/>
                <w:szCs w:val="20"/>
                <w:lang w:eastAsia="en-AU"/>
              </w:rPr>
              <w:t>Sandringham (Precinct 6) Foreshore Masterplan (2015)</w:t>
            </w:r>
          </w:p>
          <w:p w:rsidR="00D02973" w:rsidRPr="00EA2F26" w:rsidRDefault="00D02973" w:rsidP="00DF2FAC">
            <w:pPr>
              <w:tabs>
                <w:tab w:val="left" w:pos="217"/>
              </w:tabs>
              <w:spacing w:before="80" w:after="0"/>
              <w:jc w:val="both"/>
              <w:rPr>
                <w:rFonts w:eastAsia="Calibri" w:cs="Calibri"/>
                <w:sz w:val="20"/>
                <w:szCs w:val="20"/>
                <w:lang w:eastAsia="en-AU"/>
              </w:rPr>
            </w:pPr>
            <w:r w:rsidRPr="00EA2F26">
              <w:rPr>
                <w:rFonts w:eastAsia="Calibri" w:cs="Calibri"/>
                <w:sz w:val="20"/>
                <w:szCs w:val="20"/>
                <w:lang w:eastAsia="en-AU"/>
              </w:rPr>
              <w:lastRenderedPageBreak/>
              <w:t>Black</w:t>
            </w:r>
            <w:r>
              <w:rPr>
                <w:rFonts w:eastAsia="Calibri" w:cs="Calibri"/>
                <w:sz w:val="20"/>
                <w:szCs w:val="20"/>
                <w:lang w:eastAsia="en-AU"/>
              </w:rPr>
              <w:t xml:space="preserve"> R</w:t>
            </w:r>
            <w:r w:rsidRPr="00EA2F26">
              <w:rPr>
                <w:rFonts w:eastAsia="Calibri" w:cs="Calibri"/>
                <w:sz w:val="20"/>
                <w:szCs w:val="20"/>
                <w:lang w:eastAsia="en-AU"/>
              </w:rPr>
              <w:t xml:space="preserve">ock (Precinct 9) Foreshore Masterplan </w:t>
            </w:r>
          </w:p>
          <w:p w:rsidR="00D02973" w:rsidRPr="00EA2F26" w:rsidRDefault="00D02973" w:rsidP="00DF2FAC">
            <w:pPr>
              <w:tabs>
                <w:tab w:val="left" w:pos="217"/>
              </w:tabs>
              <w:spacing w:before="80" w:after="0"/>
              <w:jc w:val="both"/>
              <w:rPr>
                <w:rFonts w:eastAsia="Calibri" w:cs="Calibri"/>
                <w:sz w:val="20"/>
                <w:szCs w:val="20"/>
                <w:lang w:eastAsia="en-AU"/>
              </w:rPr>
            </w:pPr>
            <w:r w:rsidRPr="00EA2F26">
              <w:rPr>
                <w:rFonts w:eastAsia="Calibri" w:cs="Calibri"/>
                <w:sz w:val="20"/>
                <w:szCs w:val="20"/>
                <w:lang w:eastAsia="en-AU"/>
              </w:rPr>
              <w:t xml:space="preserve">Sandringham (Precinct 7) Foreshore Masterplan </w:t>
            </w:r>
          </w:p>
          <w:p w:rsidR="00D02973" w:rsidRPr="00EA2F26" w:rsidRDefault="00D02973" w:rsidP="00DF2FAC">
            <w:pPr>
              <w:tabs>
                <w:tab w:val="left" w:pos="217"/>
              </w:tabs>
              <w:spacing w:before="80" w:after="0"/>
              <w:jc w:val="both"/>
              <w:rPr>
                <w:rFonts w:eastAsia="Calibri" w:cs="Calibri"/>
                <w:sz w:val="20"/>
                <w:szCs w:val="20"/>
                <w:lang w:eastAsia="en-AU"/>
              </w:rPr>
            </w:pPr>
            <w:r w:rsidRPr="00EA2F26">
              <w:rPr>
                <w:rFonts w:eastAsia="Calibri" w:cs="Calibri"/>
                <w:sz w:val="20"/>
                <w:szCs w:val="20"/>
                <w:lang w:eastAsia="en-AU"/>
              </w:rPr>
              <w:t xml:space="preserve">Brighton (Precinct 5) Foreshore Masterplan </w:t>
            </w:r>
          </w:p>
          <w:p w:rsidR="00D02973" w:rsidRPr="00EA2F26" w:rsidRDefault="00D02973" w:rsidP="00DF2FAC">
            <w:pPr>
              <w:tabs>
                <w:tab w:val="left" w:pos="217"/>
              </w:tabs>
              <w:spacing w:before="80" w:after="0"/>
              <w:jc w:val="both"/>
              <w:rPr>
                <w:rFonts w:eastAsia="Calibri" w:cs="Calibri"/>
                <w:sz w:val="20"/>
                <w:szCs w:val="20"/>
                <w:lang w:eastAsia="en-AU"/>
              </w:rPr>
            </w:pPr>
            <w:r w:rsidRPr="00EA2F26">
              <w:rPr>
                <w:rFonts w:eastAsia="Calibri" w:cs="Calibri"/>
                <w:sz w:val="20"/>
                <w:szCs w:val="20"/>
                <w:lang w:eastAsia="en-AU"/>
              </w:rPr>
              <w:t>Foreshore Management Plans remaining precincts</w:t>
            </w:r>
          </w:p>
        </w:tc>
        <w:tc>
          <w:tcPr>
            <w:tcW w:w="1701" w:type="dxa"/>
          </w:tcPr>
          <w:p w:rsidR="00D02973" w:rsidRPr="00EA2F26" w:rsidRDefault="00D02973" w:rsidP="00DF2FAC">
            <w:pPr>
              <w:tabs>
                <w:tab w:val="left" w:pos="187"/>
              </w:tabs>
              <w:spacing w:before="80" w:after="0"/>
              <w:rPr>
                <w:rFonts w:eastAsia="Calibri" w:cs="Calibri"/>
                <w:sz w:val="20"/>
                <w:szCs w:val="20"/>
                <w:lang w:eastAsia="en-AU"/>
              </w:rPr>
            </w:pPr>
            <w:r w:rsidRPr="00EA2F26">
              <w:rPr>
                <w:rFonts w:eastAsia="Calibri" w:cs="Calibri"/>
                <w:sz w:val="20"/>
                <w:szCs w:val="20"/>
                <w:lang w:eastAsia="en-AU"/>
              </w:rPr>
              <w:lastRenderedPageBreak/>
              <w:t>Completed 2012</w:t>
            </w:r>
          </w:p>
          <w:p w:rsidR="00D02973" w:rsidRPr="00EA2F26" w:rsidRDefault="00D02973" w:rsidP="00DF2FAC">
            <w:pPr>
              <w:tabs>
                <w:tab w:val="left" w:pos="217"/>
              </w:tabs>
              <w:spacing w:before="80" w:after="0"/>
              <w:jc w:val="both"/>
              <w:rPr>
                <w:rFonts w:eastAsia="Calibri" w:cs="Calibri"/>
                <w:sz w:val="20"/>
                <w:szCs w:val="20"/>
                <w:lang w:eastAsia="en-AU"/>
              </w:rPr>
            </w:pPr>
            <w:r w:rsidRPr="00EA2F26">
              <w:rPr>
                <w:rFonts w:eastAsia="Calibri" w:cs="Calibri"/>
                <w:sz w:val="20"/>
                <w:szCs w:val="20"/>
                <w:lang w:eastAsia="en-AU"/>
              </w:rPr>
              <w:t>Completed 2010</w:t>
            </w:r>
          </w:p>
          <w:p w:rsidR="00D02973" w:rsidRPr="00EA2F26" w:rsidRDefault="00D02973" w:rsidP="00DF2FAC">
            <w:pPr>
              <w:tabs>
                <w:tab w:val="left" w:pos="217"/>
              </w:tabs>
              <w:spacing w:before="80" w:after="0"/>
              <w:jc w:val="both"/>
              <w:rPr>
                <w:rFonts w:eastAsia="Calibri" w:cs="Calibri"/>
                <w:sz w:val="20"/>
                <w:szCs w:val="20"/>
                <w:lang w:eastAsia="en-AU"/>
              </w:rPr>
            </w:pPr>
            <w:r w:rsidRPr="00EA2F26">
              <w:rPr>
                <w:rFonts w:eastAsia="Calibri" w:cs="Calibri"/>
                <w:sz w:val="20"/>
                <w:szCs w:val="20"/>
                <w:lang w:eastAsia="en-AU"/>
              </w:rPr>
              <w:t>Completed 2015</w:t>
            </w:r>
          </w:p>
          <w:p w:rsidR="00D02973" w:rsidRPr="00EA2F26" w:rsidRDefault="00D02973" w:rsidP="00DF2FAC">
            <w:pPr>
              <w:tabs>
                <w:tab w:val="left" w:pos="217"/>
              </w:tabs>
              <w:spacing w:before="80" w:after="0"/>
              <w:jc w:val="both"/>
              <w:rPr>
                <w:rFonts w:eastAsia="Calibri" w:cs="Calibri"/>
                <w:sz w:val="20"/>
                <w:szCs w:val="20"/>
                <w:lang w:eastAsia="en-AU"/>
              </w:rPr>
            </w:pPr>
            <w:r w:rsidRPr="00EA2F26">
              <w:rPr>
                <w:rFonts w:eastAsia="Calibri" w:cs="Calibri"/>
                <w:sz w:val="20"/>
                <w:szCs w:val="20"/>
                <w:lang w:eastAsia="en-AU"/>
              </w:rPr>
              <w:lastRenderedPageBreak/>
              <w:t>Due 2016</w:t>
            </w:r>
          </w:p>
          <w:p w:rsidR="00D02973" w:rsidRPr="00EA2F26" w:rsidRDefault="00D02973" w:rsidP="00DF2FAC">
            <w:pPr>
              <w:tabs>
                <w:tab w:val="left" w:pos="217"/>
              </w:tabs>
              <w:spacing w:before="80" w:after="0"/>
              <w:jc w:val="both"/>
              <w:rPr>
                <w:rFonts w:eastAsia="Calibri" w:cs="Calibri"/>
                <w:sz w:val="20"/>
                <w:szCs w:val="20"/>
                <w:lang w:eastAsia="en-AU"/>
              </w:rPr>
            </w:pPr>
            <w:r w:rsidRPr="00EA2F26">
              <w:rPr>
                <w:rFonts w:eastAsia="Calibri" w:cs="Calibri"/>
                <w:sz w:val="20"/>
                <w:szCs w:val="20"/>
                <w:lang w:eastAsia="en-AU"/>
              </w:rPr>
              <w:t>Due 2016</w:t>
            </w:r>
          </w:p>
          <w:p w:rsidR="00D02973" w:rsidRPr="00EA2F26" w:rsidRDefault="00D02973" w:rsidP="00DF2FAC">
            <w:pPr>
              <w:tabs>
                <w:tab w:val="left" w:pos="217"/>
              </w:tabs>
              <w:spacing w:before="80" w:after="0"/>
              <w:jc w:val="both"/>
              <w:rPr>
                <w:rFonts w:eastAsia="Calibri" w:cs="Calibri"/>
                <w:sz w:val="20"/>
                <w:szCs w:val="20"/>
                <w:lang w:eastAsia="en-AU"/>
              </w:rPr>
            </w:pPr>
            <w:r w:rsidRPr="00EA2F26">
              <w:rPr>
                <w:rFonts w:eastAsia="Calibri" w:cs="Calibri"/>
                <w:sz w:val="20"/>
                <w:szCs w:val="20"/>
                <w:lang w:eastAsia="en-AU"/>
              </w:rPr>
              <w:t>Due 2016</w:t>
            </w:r>
          </w:p>
          <w:p w:rsidR="00D02973" w:rsidRPr="00EA2F26" w:rsidRDefault="00D02973" w:rsidP="00DF2FAC">
            <w:pPr>
              <w:tabs>
                <w:tab w:val="left" w:pos="217"/>
              </w:tabs>
              <w:spacing w:before="80" w:after="0"/>
              <w:jc w:val="both"/>
              <w:rPr>
                <w:rFonts w:eastAsia="Calibri" w:cs="Calibri"/>
                <w:sz w:val="20"/>
                <w:szCs w:val="20"/>
                <w:lang w:eastAsia="en-AU"/>
              </w:rPr>
            </w:pPr>
            <w:r w:rsidRPr="00EA2F26">
              <w:rPr>
                <w:rFonts w:eastAsia="Calibri" w:cs="Calibri"/>
                <w:sz w:val="20"/>
                <w:szCs w:val="20"/>
                <w:lang w:eastAsia="en-AU"/>
              </w:rPr>
              <w:t>Due 2025</w:t>
            </w:r>
          </w:p>
        </w:tc>
      </w:tr>
      <w:tr w:rsidR="00D02973" w:rsidRPr="00EA2F26" w:rsidTr="00DF2FAC">
        <w:tc>
          <w:tcPr>
            <w:tcW w:w="1413" w:type="dxa"/>
            <w:vAlign w:val="center"/>
          </w:tcPr>
          <w:p w:rsidR="00D02973" w:rsidRPr="00EA2F26" w:rsidRDefault="00D02973" w:rsidP="00DF2FAC">
            <w:pPr>
              <w:spacing w:before="80" w:after="0"/>
              <w:rPr>
                <w:rFonts w:eastAsia="Calibri" w:cs="Calibri"/>
                <w:sz w:val="20"/>
                <w:szCs w:val="20"/>
                <w:lang w:eastAsia="en-AU"/>
              </w:rPr>
            </w:pPr>
            <w:r w:rsidRPr="00EA2F26">
              <w:rPr>
                <w:rFonts w:eastAsia="Calibri" w:cs="Calibri"/>
                <w:sz w:val="20"/>
                <w:szCs w:val="20"/>
                <w:lang w:eastAsia="en-AU"/>
              </w:rPr>
              <w:lastRenderedPageBreak/>
              <w:t>Trees</w:t>
            </w:r>
          </w:p>
        </w:tc>
        <w:tc>
          <w:tcPr>
            <w:tcW w:w="6066" w:type="dxa"/>
          </w:tcPr>
          <w:p w:rsidR="00D02973" w:rsidRDefault="00D02973" w:rsidP="00DF2FAC">
            <w:pPr>
              <w:tabs>
                <w:tab w:val="left" w:pos="217"/>
              </w:tabs>
              <w:spacing w:before="80" w:after="0"/>
              <w:rPr>
                <w:rFonts w:eastAsia="Calibri" w:cs="Calibri"/>
                <w:sz w:val="20"/>
                <w:szCs w:val="20"/>
                <w:lang w:eastAsia="en-AU"/>
              </w:rPr>
            </w:pPr>
            <w:r w:rsidRPr="00EA2F26">
              <w:rPr>
                <w:rFonts w:eastAsia="Calibri" w:cs="Calibri"/>
                <w:sz w:val="20"/>
                <w:szCs w:val="20"/>
                <w:lang w:eastAsia="en-AU"/>
              </w:rPr>
              <w:t>Bayside Tree Strategy</w:t>
            </w:r>
          </w:p>
          <w:p w:rsidR="00D02973" w:rsidRPr="00EA2F26" w:rsidRDefault="00D02973" w:rsidP="00DF2FAC">
            <w:pPr>
              <w:tabs>
                <w:tab w:val="left" w:pos="217"/>
              </w:tabs>
              <w:spacing w:before="80" w:after="0"/>
              <w:rPr>
                <w:rFonts w:eastAsia="Calibri" w:cs="Calibri"/>
                <w:sz w:val="20"/>
                <w:szCs w:val="20"/>
                <w:lang w:eastAsia="en-AU"/>
              </w:rPr>
            </w:pPr>
            <w:r>
              <w:rPr>
                <w:rFonts w:eastAsia="Calibri" w:cs="Calibri"/>
                <w:sz w:val="20"/>
                <w:szCs w:val="20"/>
                <w:lang w:eastAsia="en-AU"/>
              </w:rPr>
              <w:t>Street and Park Tree Management Policy</w:t>
            </w:r>
          </w:p>
        </w:tc>
        <w:tc>
          <w:tcPr>
            <w:tcW w:w="1701" w:type="dxa"/>
          </w:tcPr>
          <w:p w:rsidR="00D02973" w:rsidRDefault="00D02973" w:rsidP="00DF2FAC">
            <w:pPr>
              <w:tabs>
                <w:tab w:val="left" w:pos="217"/>
              </w:tabs>
              <w:spacing w:before="80" w:after="0"/>
              <w:rPr>
                <w:rFonts w:eastAsia="Calibri" w:cs="Calibri"/>
                <w:sz w:val="20"/>
                <w:szCs w:val="20"/>
                <w:lang w:eastAsia="en-AU"/>
              </w:rPr>
            </w:pPr>
            <w:r>
              <w:rPr>
                <w:rFonts w:eastAsia="Calibri" w:cs="Calibri"/>
                <w:sz w:val="20"/>
                <w:szCs w:val="20"/>
                <w:lang w:eastAsia="en-AU"/>
              </w:rPr>
              <w:t>Completed 2011</w:t>
            </w:r>
          </w:p>
          <w:p w:rsidR="00D02973" w:rsidRPr="00EA2F26" w:rsidRDefault="00D02973" w:rsidP="00DF2FAC">
            <w:pPr>
              <w:tabs>
                <w:tab w:val="left" w:pos="217"/>
              </w:tabs>
              <w:spacing w:before="80" w:after="0"/>
              <w:rPr>
                <w:rFonts w:eastAsia="Calibri" w:cs="Calibri"/>
                <w:sz w:val="20"/>
                <w:szCs w:val="20"/>
                <w:lang w:eastAsia="en-AU"/>
              </w:rPr>
            </w:pPr>
            <w:r>
              <w:rPr>
                <w:rFonts w:eastAsia="Calibri" w:cs="Calibri"/>
                <w:sz w:val="20"/>
                <w:szCs w:val="20"/>
                <w:lang w:eastAsia="en-AU"/>
              </w:rPr>
              <w:t>Due 2016</w:t>
            </w:r>
          </w:p>
        </w:tc>
      </w:tr>
      <w:tr w:rsidR="00D02973" w:rsidRPr="00EA2F26" w:rsidTr="00DF2FAC">
        <w:tc>
          <w:tcPr>
            <w:tcW w:w="1413" w:type="dxa"/>
            <w:vAlign w:val="center"/>
          </w:tcPr>
          <w:p w:rsidR="00D02973" w:rsidRPr="00EA2F26" w:rsidRDefault="00D02973" w:rsidP="00DF2FAC">
            <w:pPr>
              <w:spacing w:before="80" w:after="0"/>
              <w:rPr>
                <w:rFonts w:eastAsia="Calibri" w:cs="Calibri"/>
                <w:sz w:val="20"/>
                <w:szCs w:val="20"/>
                <w:lang w:eastAsia="en-AU"/>
              </w:rPr>
            </w:pPr>
            <w:r w:rsidRPr="00EA2F26">
              <w:rPr>
                <w:rFonts w:eastAsia="Calibri" w:cs="Calibri"/>
                <w:sz w:val="20"/>
                <w:szCs w:val="20"/>
                <w:lang w:eastAsia="en-AU"/>
              </w:rPr>
              <w:t>Playgrounds</w:t>
            </w:r>
          </w:p>
        </w:tc>
        <w:tc>
          <w:tcPr>
            <w:tcW w:w="6066" w:type="dxa"/>
          </w:tcPr>
          <w:p w:rsidR="00D02973" w:rsidRPr="00EA2F26" w:rsidRDefault="00D02973" w:rsidP="00DF2FAC">
            <w:pPr>
              <w:tabs>
                <w:tab w:val="left" w:pos="217"/>
              </w:tabs>
              <w:spacing w:before="80" w:after="0"/>
              <w:rPr>
                <w:rFonts w:eastAsia="Calibri" w:cs="Calibri"/>
                <w:sz w:val="20"/>
                <w:szCs w:val="20"/>
                <w:lang w:eastAsia="en-AU"/>
              </w:rPr>
            </w:pPr>
            <w:r w:rsidRPr="00EA2F26">
              <w:rPr>
                <w:rFonts w:eastAsia="Calibri" w:cs="Calibri"/>
                <w:sz w:val="20"/>
                <w:szCs w:val="20"/>
                <w:lang w:eastAsia="en-AU"/>
              </w:rPr>
              <w:t xml:space="preserve">Playground Improvement Plan </w:t>
            </w:r>
          </w:p>
        </w:tc>
        <w:tc>
          <w:tcPr>
            <w:tcW w:w="1701" w:type="dxa"/>
          </w:tcPr>
          <w:p w:rsidR="00D02973" w:rsidRPr="00EA2F26" w:rsidRDefault="00D02973" w:rsidP="00DF2FAC">
            <w:pPr>
              <w:tabs>
                <w:tab w:val="left" w:pos="217"/>
              </w:tabs>
              <w:spacing w:before="80" w:after="0"/>
              <w:rPr>
                <w:rFonts w:eastAsia="Calibri" w:cs="Calibri"/>
                <w:sz w:val="20"/>
                <w:szCs w:val="20"/>
                <w:lang w:eastAsia="en-AU"/>
              </w:rPr>
            </w:pPr>
            <w:r w:rsidRPr="00EA2F26">
              <w:rPr>
                <w:rFonts w:eastAsia="Calibri" w:cs="Calibri"/>
                <w:sz w:val="20"/>
                <w:szCs w:val="20"/>
                <w:lang w:eastAsia="en-AU"/>
              </w:rPr>
              <w:t>Completed 2015</w:t>
            </w:r>
          </w:p>
        </w:tc>
      </w:tr>
      <w:tr w:rsidR="00D02973" w:rsidRPr="00EA2F26" w:rsidTr="00DF2FAC">
        <w:tc>
          <w:tcPr>
            <w:tcW w:w="1413" w:type="dxa"/>
            <w:vAlign w:val="center"/>
          </w:tcPr>
          <w:p w:rsidR="00D02973" w:rsidRPr="00EA2F26" w:rsidRDefault="00D02973" w:rsidP="00DF2FAC">
            <w:pPr>
              <w:spacing w:before="80" w:after="0"/>
              <w:rPr>
                <w:rFonts w:eastAsia="Calibri" w:cs="Calibri"/>
                <w:sz w:val="20"/>
                <w:szCs w:val="20"/>
                <w:lang w:eastAsia="en-AU"/>
              </w:rPr>
            </w:pPr>
            <w:r w:rsidRPr="00EA2F26">
              <w:rPr>
                <w:rFonts w:eastAsia="Calibri" w:cs="Calibri"/>
                <w:sz w:val="20"/>
                <w:szCs w:val="20"/>
                <w:lang w:eastAsia="en-AU"/>
              </w:rPr>
              <w:t>Other</w:t>
            </w:r>
          </w:p>
        </w:tc>
        <w:tc>
          <w:tcPr>
            <w:tcW w:w="6066" w:type="dxa"/>
          </w:tcPr>
          <w:p w:rsidR="00D02973" w:rsidRPr="00EA2F26" w:rsidRDefault="00D02973" w:rsidP="00DF2FAC">
            <w:pPr>
              <w:tabs>
                <w:tab w:val="left" w:pos="217"/>
              </w:tabs>
              <w:spacing w:before="80" w:after="0"/>
              <w:rPr>
                <w:rFonts w:eastAsia="Calibri" w:cs="Calibri"/>
                <w:sz w:val="20"/>
                <w:szCs w:val="20"/>
                <w:lang w:eastAsia="en-AU"/>
              </w:rPr>
            </w:pPr>
            <w:r w:rsidRPr="00EA2F26">
              <w:rPr>
                <w:rFonts w:eastAsia="Calibri" w:cs="Calibri"/>
                <w:sz w:val="20"/>
                <w:szCs w:val="20"/>
                <w:lang w:eastAsia="en-AU"/>
              </w:rPr>
              <w:t>Dendy Street Beach Master Plan</w:t>
            </w:r>
          </w:p>
          <w:p w:rsidR="00D02973" w:rsidRPr="00EA2F26" w:rsidRDefault="00D02973" w:rsidP="00DF2FAC">
            <w:pPr>
              <w:tabs>
                <w:tab w:val="left" w:pos="217"/>
              </w:tabs>
              <w:spacing w:before="80" w:after="0"/>
              <w:jc w:val="both"/>
              <w:rPr>
                <w:rFonts w:eastAsia="Calibri" w:cs="Calibri"/>
                <w:sz w:val="20"/>
                <w:szCs w:val="20"/>
                <w:lang w:eastAsia="en-AU"/>
              </w:rPr>
            </w:pPr>
            <w:r w:rsidRPr="00EA2F26">
              <w:rPr>
                <w:rFonts w:eastAsia="Calibri" w:cs="Calibri"/>
                <w:sz w:val="20"/>
                <w:szCs w:val="20"/>
                <w:lang w:eastAsia="en-AU"/>
              </w:rPr>
              <w:t xml:space="preserve">Bayside </w:t>
            </w:r>
            <w:r>
              <w:rPr>
                <w:rFonts w:eastAsia="Calibri" w:cs="Calibri"/>
                <w:sz w:val="20"/>
                <w:szCs w:val="20"/>
                <w:lang w:eastAsia="en-AU"/>
              </w:rPr>
              <w:t>Council</w:t>
            </w:r>
            <w:r w:rsidRPr="00EA2F26">
              <w:rPr>
                <w:rFonts w:eastAsia="Calibri" w:cs="Calibri"/>
                <w:sz w:val="20"/>
                <w:szCs w:val="20"/>
                <w:lang w:eastAsia="en-AU"/>
              </w:rPr>
              <w:t xml:space="preserve"> Integrated Water Management Plan </w:t>
            </w:r>
          </w:p>
        </w:tc>
        <w:tc>
          <w:tcPr>
            <w:tcW w:w="1701" w:type="dxa"/>
          </w:tcPr>
          <w:p w:rsidR="00D02973" w:rsidRPr="00EA2F26" w:rsidRDefault="00D02973" w:rsidP="00DF2FAC">
            <w:pPr>
              <w:tabs>
                <w:tab w:val="left" w:pos="217"/>
              </w:tabs>
              <w:spacing w:before="80" w:after="0"/>
              <w:rPr>
                <w:rFonts w:eastAsia="Calibri" w:cs="Calibri"/>
                <w:sz w:val="20"/>
                <w:szCs w:val="20"/>
                <w:lang w:eastAsia="en-AU"/>
              </w:rPr>
            </w:pPr>
            <w:r>
              <w:rPr>
                <w:rFonts w:eastAsia="Calibri" w:cs="Calibri"/>
                <w:sz w:val="20"/>
                <w:szCs w:val="20"/>
                <w:lang w:eastAsia="en-AU"/>
              </w:rPr>
              <w:t>Completed 2013</w:t>
            </w:r>
          </w:p>
          <w:p w:rsidR="00D02973" w:rsidRPr="00EA2F26" w:rsidRDefault="00D02973" w:rsidP="00DF2FAC">
            <w:pPr>
              <w:tabs>
                <w:tab w:val="left" w:pos="217"/>
              </w:tabs>
              <w:spacing w:before="80" w:after="0"/>
              <w:rPr>
                <w:rFonts w:eastAsia="Calibri" w:cs="Calibri"/>
                <w:sz w:val="20"/>
                <w:szCs w:val="20"/>
                <w:lang w:eastAsia="en-AU"/>
              </w:rPr>
            </w:pPr>
            <w:r w:rsidRPr="00EA2F26">
              <w:rPr>
                <w:rFonts w:eastAsia="Calibri" w:cs="Calibri"/>
                <w:sz w:val="20"/>
                <w:szCs w:val="20"/>
                <w:lang w:eastAsia="en-AU"/>
              </w:rPr>
              <w:t>Completed 2016</w:t>
            </w:r>
          </w:p>
        </w:tc>
      </w:tr>
    </w:tbl>
    <w:p w:rsidR="00D02973" w:rsidRPr="00DC775E" w:rsidRDefault="00D02973" w:rsidP="00D02973">
      <w:pPr>
        <w:pStyle w:val="CTAMPBody"/>
        <w:spacing w:before="200" w:after="20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Other planned Asset Upgrade Strategies to be included in a future revision of this document will be the </w:t>
      </w:r>
      <w:r w:rsidRPr="00EA2F26">
        <w:rPr>
          <w:rFonts w:asciiTheme="minorHAnsi" w:eastAsiaTheme="minorHAnsi" w:hAnsiTheme="minorHAnsi" w:cstheme="minorBidi"/>
          <w:sz w:val="22"/>
          <w:szCs w:val="22"/>
        </w:rPr>
        <w:t>Tennis Strategy</w:t>
      </w:r>
      <w:r>
        <w:rPr>
          <w:rFonts w:asciiTheme="minorHAnsi" w:eastAsiaTheme="minorHAnsi" w:hAnsiTheme="minorHAnsi" w:cstheme="minorBidi"/>
          <w:sz w:val="22"/>
          <w:szCs w:val="22"/>
        </w:rPr>
        <w:t xml:space="preserve"> (due 2017), including a regional tennis centre feasibility study and long term planning for netball and basketball facilities (due 2016)</w:t>
      </w:r>
      <w:r w:rsidRPr="00EA2F26">
        <w:rPr>
          <w:rFonts w:asciiTheme="minorHAnsi" w:eastAsiaTheme="minorHAnsi" w:hAnsiTheme="minorHAnsi" w:cstheme="minorBidi"/>
          <w:sz w:val="22"/>
          <w:szCs w:val="22"/>
        </w:rPr>
        <w:t>.</w:t>
      </w:r>
    </w:p>
    <w:p w:rsidR="00D02973" w:rsidRPr="00DF2FAC" w:rsidRDefault="00D02973" w:rsidP="00D02973">
      <w:pPr>
        <w:pStyle w:val="Heading2"/>
        <w:spacing w:after="200"/>
        <w:rPr>
          <w:rFonts w:asciiTheme="minorHAnsi" w:hAnsiTheme="minorHAnsi"/>
          <w:color w:val="2E74B5" w:themeColor="accent1" w:themeShade="BF"/>
        </w:rPr>
      </w:pPr>
      <w:bookmarkStart w:id="31" w:name="_Toc448475188"/>
      <w:r w:rsidRPr="00DF2FAC">
        <w:rPr>
          <w:rFonts w:asciiTheme="minorHAnsi" w:hAnsiTheme="minorHAnsi"/>
          <w:color w:val="2E74B5" w:themeColor="accent1" w:themeShade="BF"/>
        </w:rPr>
        <w:t xml:space="preserve">3.4 </w:t>
      </w:r>
      <w:r w:rsidRPr="00DF2FAC">
        <w:rPr>
          <w:rFonts w:asciiTheme="minorHAnsi" w:hAnsiTheme="minorHAnsi"/>
          <w:color w:val="2E74B5" w:themeColor="accent1" w:themeShade="BF"/>
        </w:rPr>
        <w:tab/>
        <w:t>Demand Management Strategies</w:t>
      </w:r>
      <w:bookmarkEnd w:id="31"/>
    </w:p>
    <w:p w:rsidR="00D02973" w:rsidRPr="00EA2F26" w:rsidRDefault="00D02973" w:rsidP="00D02973">
      <w:pPr>
        <w:spacing w:before="120"/>
        <w:jc w:val="both"/>
      </w:pPr>
      <w:r w:rsidRPr="00EA2F26">
        <w:t>Demand management strategies provide alternatives to the creation of new assets through managing customer demand</w:t>
      </w:r>
      <w:r>
        <w:t xml:space="preserve"> for the service in question</w:t>
      </w:r>
      <w:r w:rsidRPr="00EA2F26">
        <w:t>.  A key long term approach in this R&amp;OS-AMP is to manage demand so that future services can be provided at a reasonable cost without a negative impact on service.  It is expected that effective demand management strategies will allow efficient management of the recreation and open space assets.</w:t>
      </w:r>
    </w:p>
    <w:p w:rsidR="00D02973" w:rsidRPr="00EA2F26" w:rsidRDefault="00D02973" w:rsidP="00D02973">
      <w:pPr>
        <w:pStyle w:val="CTAMPBody"/>
        <w:spacing w:after="200" w:line="276" w:lineRule="auto"/>
        <w:rPr>
          <w:rFonts w:asciiTheme="minorHAnsi" w:eastAsiaTheme="minorHAnsi" w:hAnsiTheme="minorHAnsi" w:cstheme="minorBidi"/>
          <w:sz w:val="22"/>
          <w:szCs w:val="22"/>
        </w:rPr>
      </w:pPr>
      <w:r w:rsidRPr="00EA2F26">
        <w:rPr>
          <w:rFonts w:asciiTheme="minorHAnsi" w:eastAsiaTheme="minorHAnsi" w:hAnsiTheme="minorHAnsi" w:cstheme="minorBidi"/>
          <w:sz w:val="22"/>
          <w:szCs w:val="22"/>
        </w:rPr>
        <w:t>The objective of demand management is to actively seek to manage customer demands for services in order to:</w:t>
      </w:r>
    </w:p>
    <w:p w:rsidR="00D02973" w:rsidRPr="00EA2F26" w:rsidRDefault="00D02973" w:rsidP="00D02973">
      <w:pPr>
        <w:pStyle w:val="BodyText"/>
        <w:numPr>
          <w:ilvl w:val="0"/>
          <w:numId w:val="34"/>
        </w:numPr>
        <w:spacing w:after="0" w:line="276" w:lineRule="auto"/>
        <w:jc w:val="both"/>
        <w:rPr>
          <w:rFonts w:asciiTheme="minorHAnsi" w:eastAsiaTheme="minorHAnsi" w:hAnsiTheme="minorHAnsi" w:cstheme="minorBidi"/>
          <w:sz w:val="22"/>
          <w:szCs w:val="22"/>
          <w:lang w:eastAsia="en-US"/>
        </w:rPr>
      </w:pPr>
      <w:r w:rsidRPr="00EA2F26">
        <w:rPr>
          <w:rFonts w:asciiTheme="minorHAnsi" w:eastAsiaTheme="minorHAnsi" w:hAnsiTheme="minorHAnsi" w:cstheme="minorBidi"/>
          <w:sz w:val="22"/>
          <w:szCs w:val="22"/>
          <w:lang w:eastAsia="en-US"/>
        </w:rPr>
        <w:t>Optimise the efficiency, utilisation and performance of existing assets;</w:t>
      </w:r>
    </w:p>
    <w:p w:rsidR="00D02973" w:rsidRPr="00EA2F26" w:rsidRDefault="00D02973" w:rsidP="00D02973">
      <w:pPr>
        <w:pStyle w:val="BodyText"/>
        <w:numPr>
          <w:ilvl w:val="0"/>
          <w:numId w:val="34"/>
        </w:numPr>
        <w:spacing w:after="0" w:line="276" w:lineRule="auto"/>
        <w:jc w:val="both"/>
        <w:rPr>
          <w:rFonts w:asciiTheme="minorHAnsi" w:eastAsiaTheme="minorHAnsi" w:hAnsiTheme="minorHAnsi" w:cstheme="minorBidi"/>
          <w:sz w:val="22"/>
          <w:szCs w:val="22"/>
          <w:lang w:eastAsia="en-US"/>
        </w:rPr>
      </w:pPr>
      <w:r w:rsidRPr="00EA2F26">
        <w:rPr>
          <w:rFonts w:asciiTheme="minorHAnsi" w:eastAsiaTheme="minorHAnsi" w:hAnsiTheme="minorHAnsi" w:cstheme="minorBidi"/>
          <w:sz w:val="22"/>
          <w:szCs w:val="22"/>
          <w:lang w:eastAsia="en-US"/>
        </w:rPr>
        <w:t>Reduce or defer the need for new assets;</w:t>
      </w:r>
    </w:p>
    <w:p w:rsidR="00D02973" w:rsidRPr="00EA2F26" w:rsidRDefault="00D02973" w:rsidP="00D02973">
      <w:pPr>
        <w:pStyle w:val="BodyText"/>
        <w:numPr>
          <w:ilvl w:val="0"/>
          <w:numId w:val="34"/>
        </w:numPr>
        <w:spacing w:after="0" w:line="276" w:lineRule="auto"/>
        <w:jc w:val="both"/>
        <w:rPr>
          <w:rFonts w:asciiTheme="minorHAnsi" w:eastAsiaTheme="minorHAnsi" w:hAnsiTheme="minorHAnsi" w:cstheme="minorBidi"/>
          <w:sz w:val="22"/>
          <w:szCs w:val="22"/>
          <w:lang w:eastAsia="en-US"/>
        </w:rPr>
      </w:pPr>
      <w:r w:rsidRPr="00EA2F26">
        <w:rPr>
          <w:rFonts w:asciiTheme="minorHAnsi" w:eastAsiaTheme="minorHAnsi" w:hAnsiTheme="minorHAnsi" w:cstheme="minorBidi"/>
          <w:sz w:val="22"/>
          <w:szCs w:val="22"/>
          <w:lang w:eastAsia="en-US"/>
        </w:rPr>
        <w:t>Meet the organisation's strategic objectives;</w:t>
      </w:r>
    </w:p>
    <w:p w:rsidR="00D02973" w:rsidRPr="00EA2F26" w:rsidRDefault="00D02973" w:rsidP="00D02973">
      <w:pPr>
        <w:pStyle w:val="BodyText"/>
        <w:numPr>
          <w:ilvl w:val="0"/>
          <w:numId w:val="34"/>
        </w:numPr>
        <w:spacing w:after="0" w:line="276" w:lineRule="auto"/>
        <w:jc w:val="both"/>
        <w:rPr>
          <w:rFonts w:asciiTheme="minorHAnsi" w:eastAsiaTheme="minorHAnsi" w:hAnsiTheme="minorHAnsi" w:cstheme="minorBidi"/>
          <w:sz w:val="22"/>
          <w:szCs w:val="22"/>
          <w:lang w:eastAsia="en-US"/>
        </w:rPr>
      </w:pPr>
      <w:r w:rsidRPr="00EA2F26">
        <w:rPr>
          <w:rFonts w:asciiTheme="minorHAnsi" w:eastAsiaTheme="minorHAnsi" w:hAnsiTheme="minorHAnsi" w:cstheme="minorBidi"/>
          <w:sz w:val="22"/>
          <w:szCs w:val="22"/>
          <w:lang w:eastAsia="en-US"/>
        </w:rPr>
        <w:t>Deliver a more sustainable service; and</w:t>
      </w:r>
    </w:p>
    <w:p w:rsidR="00D02973" w:rsidRPr="00EA2F26" w:rsidRDefault="00D02973" w:rsidP="00D02973">
      <w:pPr>
        <w:pStyle w:val="BodyText"/>
        <w:numPr>
          <w:ilvl w:val="0"/>
          <w:numId w:val="34"/>
        </w:numPr>
        <w:spacing w:after="200" w:line="276" w:lineRule="auto"/>
        <w:jc w:val="both"/>
        <w:rPr>
          <w:rFonts w:asciiTheme="minorHAnsi" w:eastAsiaTheme="minorHAnsi" w:hAnsiTheme="minorHAnsi" w:cstheme="minorBidi"/>
          <w:sz w:val="22"/>
          <w:szCs w:val="22"/>
          <w:lang w:eastAsia="en-US"/>
        </w:rPr>
      </w:pPr>
      <w:r w:rsidRPr="00EA2F26">
        <w:rPr>
          <w:rFonts w:asciiTheme="minorHAnsi" w:eastAsiaTheme="minorHAnsi" w:hAnsiTheme="minorHAnsi" w:cstheme="minorBidi"/>
          <w:sz w:val="22"/>
          <w:szCs w:val="22"/>
          <w:lang w:eastAsia="en-US"/>
        </w:rPr>
        <w:t>Respond to customer needs.</w:t>
      </w:r>
    </w:p>
    <w:p w:rsidR="00D02973" w:rsidRPr="00EA2F26" w:rsidRDefault="00D02973" w:rsidP="00D02973">
      <w:pPr>
        <w:pStyle w:val="CTAMPBody"/>
        <w:spacing w:before="120" w:after="200" w:line="276" w:lineRule="auto"/>
        <w:rPr>
          <w:rFonts w:asciiTheme="minorHAnsi" w:eastAsiaTheme="minorHAnsi" w:hAnsiTheme="minorHAnsi" w:cstheme="minorBidi"/>
          <w:sz w:val="22"/>
          <w:szCs w:val="22"/>
        </w:rPr>
      </w:pPr>
      <w:r w:rsidRPr="00EA2F26">
        <w:rPr>
          <w:rFonts w:asciiTheme="minorHAnsi" w:eastAsiaTheme="minorHAnsi" w:hAnsiTheme="minorHAnsi" w:cstheme="minorBidi"/>
          <w:sz w:val="22"/>
          <w:szCs w:val="22"/>
        </w:rPr>
        <w:t>Demand factors are to be analysed comprehensively, and their impact quantified in terms of the following:</w:t>
      </w:r>
    </w:p>
    <w:p w:rsidR="00D02973" w:rsidRPr="00EA2F26" w:rsidRDefault="00D02973" w:rsidP="00D02973">
      <w:pPr>
        <w:pStyle w:val="BodyText"/>
        <w:numPr>
          <w:ilvl w:val="0"/>
          <w:numId w:val="34"/>
        </w:numPr>
        <w:spacing w:after="0" w:line="276" w:lineRule="auto"/>
        <w:jc w:val="both"/>
        <w:rPr>
          <w:rFonts w:asciiTheme="minorHAnsi" w:eastAsiaTheme="minorHAnsi" w:hAnsiTheme="minorHAnsi" w:cstheme="minorBidi"/>
          <w:sz w:val="22"/>
          <w:szCs w:val="22"/>
          <w:lang w:eastAsia="en-US"/>
        </w:rPr>
      </w:pPr>
      <w:r w:rsidRPr="00EA2F26">
        <w:rPr>
          <w:rFonts w:asciiTheme="minorHAnsi" w:eastAsiaTheme="minorHAnsi" w:hAnsiTheme="minorHAnsi" w:cstheme="minorBidi"/>
          <w:sz w:val="22"/>
          <w:szCs w:val="22"/>
          <w:lang w:eastAsia="en-US"/>
        </w:rPr>
        <w:t>The effect of the growth of the recreation  and open space asset stock;</w:t>
      </w:r>
    </w:p>
    <w:p w:rsidR="00D02973" w:rsidRPr="00EA2F26" w:rsidRDefault="00D02973" w:rsidP="00D02973">
      <w:pPr>
        <w:pStyle w:val="BodyText"/>
        <w:numPr>
          <w:ilvl w:val="0"/>
          <w:numId w:val="34"/>
        </w:numPr>
        <w:spacing w:after="0" w:line="276" w:lineRule="auto"/>
        <w:jc w:val="both"/>
        <w:rPr>
          <w:rFonts w:asciiTheme="minorHAnsi" w:eastAsiaTheme="minorHAnsi" w:hAnsiTheme="minorHAnsi" w:cstheme="minorBidi"/>
          <w:sz w:val="22"/>
          <w:szCs w:val="22"/>
          <w:lang w:eastAsia="en-US"/>
        </w:rPr>
      </w:pPr>
      <w:r w:rsidRPr="00EA2F26">
        <w:rPr>
          <w:rFonts w:asciiTheme="minorHAnsi" w:eastAsiaTheme="minorHAnsi" w:hAnsiTheme="minorHAnsi" w:cstheme="minorBidi"/>
          <w:sz w:val="22"/>
          <w:szCs w:val="22"/>
          <w:lang w:eastAsia="en-US"/>
        </w:rPr>
        <w:t>Any possible future need to increase or decrease assets; and</w:t>
      </w:r>
    </w:p>
    <w:p w:rsidR="00D02973" w:rsidRPr="00EA2F26" w:rsidRDefault="00D02973" w:rsidP="00D02973">
      <w:pPr>
        <w:pStyle w:val="BodyText"/>
        <w:numPr>
          <w:ilvl w:val="0"/>
          <w:numId w:val="34"/>
        </w:numPr>
        <w:spacing w:after="200" w:line="276" w:lineRule="auto"/>
        <w:jc w:val="both"/>
        <w:rPr>
          <w:rFonts w:asciiTheme="minorHAnsi" w:eastAsiaTheme="minorHAnsi" w:hAnsiTheme="minorHAnsi" w:cstheme="minorBidi"/>
          <w:sz w:val="22"/>
          <w:szCs w:val="22"/>
          <w:lang w:eastAsia="en-US"/>
        </w:rPr>
      </w:pPr>
      <w:r w:rsidRPr="00EA2F26">
        <w:rPr>
          <w:rFonts w:asciiTheme="minorHAnsi" w:eastAsiaTheme="minorHAnsi" w:hAnsiTheme="minorHAnsi" w:cstheme="minorBidi"/>
          <w:sz w:val="22"/>
          <w:szCs w:val="22"/>
          <w:lang w:eastAsia="en-US"/>
        </w:rPr>
        <w:t>The effectiveness of non-asset solutions.</w:t>
      </w:r>
    </w:p>
    <w:p w:rsidR="00D02973" w:rsidRPr="00EA2F26" w:rsidRDefault="00D02973" w:rsidP="00D02973">
      <w:pPr>
        <w:pStyle w:val="CTAMPBody"/>
        <w:spacing w:before="120" w:after="200" w:line="276" w:lineRule="auto"/>
        <w:rPr>
          <w:rFonts w:asciiTheme="minorHAnsi" w:eastAsiaTheme="minorHAnsi" w:hAnsiTheme="minorHAnsi" w:cstheme="minorBidi"/>
          <w:sz w:val="22"/>
          <w:szCs w:val="22"/>
        </w:rPr>
      </w:pPr>
      <w:r w:rsidRPr="00EA2F26">
        <w:rPr>
          <w:rFonts w:asciiTheme="minorHAnsi" w:eastAsiaTheme="minorHAnsi" w:hAnsiTheme="minorHAnsi" w:cstheme="minorBidi"/>
          <w:sz w:val="22"/>
          <w:szCs w:val="22"/>
        </w:rPr>
        <w:t>In addition to the factors mentioned above, risk affects demand for services and consequently the following must be taken into account:</w:t>
      </w:r>
    </w:p>
    <w:p w:rsidR="00D02973" w:rsidRPr="00EA2F26" w:rsidRDefault="00D02973" w:rsidP="00D02973">
      <w:pPr>
        <w:pStyle w:val="BodyText"/>
        <w:numPr>
          <w:ilvl w:val="0"/>
          <w:numId w:val="34"/>
        </w:numPr>
        <w:spacing w:after="0" w:line="276" w:lineRule="auto"/>
        <w:jc w:val="both"/>
        <w:rPr>
          <w:rFonts w:asciiTheme="minorHAnsi" w:eastAsiaTheme="minorHAnsi" w:hAnsiTheme="minorHAnsi" w:cstheme="minorBidi"/>
          <w:sz w:val="22"/>
          <w:szCs w:val="22"/>
          <w:lang w:eastAsia="en-US"/>
        </w:rPr>
      </w:pPr>
      <w:r w:rsidRPr="00EA2F26">
        <w:rPr>
          <w:rFonts w:asciiTheme="minorHAnsi" w:eastAsiaTheme="minorHAnsi" w:hAnsiTheme="minorHAnsi" w:cstheme="minorBidi"/>
          <w:sz w:val="22"/>
          <w:szCs w:val="22"/>
          <w:lang w:eastAsia="en-US"/>
        </w:rPr>
        <w:t>The methodology and accuracy of forecasts;</w:t>
      </w:r>
    </w:p>
    <w:p w:rsidR="00D02973" w:rsidRPr="00EA2F26" w:rsidRDefault="00D02973" w:rsidP="00D02973">
      <w:pPr>
        <w:pStyle w:val="BodyText"/>
        <w:numPr>
          <w:ilvl w:val="0"/>
          <w:numId w:val="34"/>
        </w:numPr>
        <w:spacing w:after="0" w:line="276" w:lineRule="auto"/>
        <w:jc w:val="both"/>
        <w:rPr>
          <w:rFonts w:asciiTheme="minorHAnsi" w:eastAsiaTheme="minorHAnsi" w:hAnsiTheme="minorHAnsi" w:cstheme="minorBidi"/>
          <w:sz w:val="22"/>
          <w:szCs w:val="22"/>
          <w:lang w:eastAsia="en-US"/>
        </w:rPr>
      </w:pPr>
      <w:r w:rsidRPr="00EA2F26">
        <w:rPr>
          <w:rFonts w:asciiTheme="minorHAnsi" w:eastAsiaTheme="minorHAnsi" w:hAnsiTheme="minorHAnsi" w:cstheme="minorBidi"/>
          <w:sz w:val="22"/>
          <w:szCs w:val="22"/>
          <w:lang w:eastAsia="en-US"/>
        </w:rPr>
        <w:t>The currency of forecasts;</w:t>
      </w:r>
    </w:p>
    <w:p w:rsidR="00D02973" w:rsidRPr="00EA2F26" w:rsidRDefault="00D02973" w:rsidP="00D02973">
      <w:pPr>
        <w:pStyle w:val="BodyText"/>
        <w:numPr>
          <w:ilvl w:val="0"/>
          <w:numId w:val="34"/>
        </w:numPr>
        <w:spacing w:after="0" w:line="276" w:lineRule="auto"/>
        <w:jc w:val="both"/>
        <w:rPr>
          <w:rFonts w:asciiTheme="minorHAnsi" w:eastAsiaTheme="minorHAnsi" w:hAnsiTheme="minorHAnsi" w:cstheme="minorBidi"/>
          <w:sz w:val="22"/>
          <w:szCs w:val="22"/>
          <w:lang w:eastAsia="en-US"/>
        </w:rPr>
      </w:pPr>
      <w:r w:rsidRPr="00EA2F26">
        <w:rPr>
          <w:rFonts w:asciiTheme="minorHAnsi" w:eastAsiaTheme="minorHAnsi" w:hAnsiTheme="minorHAnsi" w:cstheme="minorBidi"/>
          <w:sz w:val="22"/>
          <w:szCs w:val="22"/>
          <w:lang w:eastAsia="en-US"/>
        </w:rPr>
        <w:t>The uncertainty of forecasts; and</w:t>
      </w:r>
    </w:p>
    <w:p w:rsidR="00D02973" w:rsidRPr="00EA2F26" w:rsidRDefault="00D02973" w:rsidP="00D02973">
      <w:pPr>
        <w:pStyle w:val="BodyText"/>
        <w:numPr>
          <w:ilvl w:val="0"/>
          <w:numId w:val="34"/>
        </w:numPr>
        <w:spacing w:after="200" w:line="276" w:lineRule="auto"/>
        <w:jc w:val="both"/>
        <w:rPr>
          <w:rFonts w:asciiTheme="minorHAnsi" w:eastAsiaTheme="minorHAnsi" w:hAnsiTheme="minorHAnsi" w:cstheme="minorBidi"/>
          <w:sz w:val="22"/>
          <w:szCs w:val="22"/>
          <w:lang w:eastAsia="en-US"/>
        </w:rPr>
      </w:pPr>
      <w:r w:rsidRPr="00EA2F26">
        <w:rPr>
          <w:rFonts w:asciiTheme="minorHAnsi" w:eastAsiaTheme="minorHAnsi" w:hAnsiTheme="minorHAnsi" w:cstheme="minorBidi"/>
          <w:sz w:val="22"/>
          <w:szCs w:val="22"/>
          <w:lang w:eastAsia="en-US"/>
        </w:rPr>
        <w:lastRenderedPageBreak/>
        <w:t>Any unforeseen natural factors.</w:t>
      </w:r>
    </w:p>
    <w:p w:rsidR="00D02973" w:rsidRPr="00EA2F26" w:rsidRDefault="00D02973" w:rsidP="00D02973">
      <w:pPr>
        <w:pStyle w:val="CTAMPBody"/>
        <w:spacing w:before="120" w:after="200" w:line="276" w:lineRule="auto"/>
        <w:rPr>
          <w:rFonts w:asciiTheme="minorHAnsi" w:eastAsiaTheme="minorHAnsi" w:hAnsiTheme="minorHAnsi" w:cstheme="minorBidi"/>
          <w:sz w:val="22"/>
          <w:szCs w:val="22"/>
        </w:rPr>
      </w:pPr>
      <w:r w:rsidRPr="00EA2F26">
        <w:rPr>
          <w:rFonts w:asciiTheme="minorHAnsi" w:eastAsiaTheme="minorHAnsi" w:hAnsiTheme="minorHAnsi" w:cstheme="minorBidi"/>
          <w:sz w:val="22"/>
          <w:szCs w:val="22"/>
        </w:rPr>
        <w:t>Development of the Asset Improvement Strategies (refer to Section 2.4 Levels of Service) will include consideration of specific demands on that recreation and open space asset category.</w:t>
      </w:r>
    </w:p>
    <w:p w:rsidR="00D02973" w:rsidRPr="00EA2F26" w:rsidRDefault="00D02973" w:rsidP="00D02973">
      <w:pPr>
        <w:pStyle w:val="CTAMPBody"/>
        <w:spacing w:before="120" w:after="200" w:line="276" w:lineRule="auto"/>
        <w:rPr>
          <w:rFonts w:asciiTheme="minorHAnsi" w:eastAsiaTheme="minorHAnsi" w:hAnsiTheme="minorHAnsi" w:cstheme="minorBidi"/>
          <w:sz w:val="22"/>
          <w:szCs w:val="22"/>
        </w:rPr>
      </w:pPr>
      <w:r w:rsidRPr="00EA2F26">
        <w:rPr>
          <w:rFonts w:asciiTheme="minorHAnsi" w:eastAsiaTheme="minorHAnsi" w:hAnsiTheme="minorHAnsi" w:cstheme="minorBidi"/>
          <w:sz w:val="22"/>
          <w:szCs w:val="22"/>
        </w:rPr>
        <w:t xml:space="preserve">Opportunities for funding new assets are generally limited to income from Government Grants and from </w:t>
      </w:r>
      <w:r>
        <w:rPr>
          <w:rFonts w:asciiTheme="minorHAnsi" w:eastAsiaTheme="minorHAnsi" w:hAnsiTheme="minorHAnsi" w:cstheme="minorBidi"/>
          <w:sz w:val="22"/>
          <w:szCs w:val="22"/>
        </w:rPr>
        <w:t>Council</w:t>
      </w:r>
      <w:r w:rsidRPr="00EA2F26">
        <w:rPr>
          <w:rFonts w:asciiTheme="minorHAnsi" w:eastAsiaTheme="minorHAnsi" w:hAnsiTheme="minorHAnsi" w:cstheme="minorBidi"/>
          <w:sz w:val="22"/>
          <w:szCs w:val="22"/>
        </w:rPr>
        <w:t xml:space="preserve"> rates.  Although it may be possible to afford a new asset, especially if the subject of a Government grant, what must also be considered as part of the equation is the ongoing commitment to operations and maintenance.</w:t>
      </w:r>
    </w:p>
    <w:p w:rsidR="00D02973" w:rsidRPr="00EA2F26" w:rsidRDefault="00D02973" w:rsidP="00D02973">
      <w:pPr>
        <w:pStyle w:val="CTAMPBody"/>
        <w:spacing w:before="120" w:after="80" w:line="276" w:lineRule="auto"/>
        <w:rPr>
          <w:rFonts w:asciiTheme="minorHAnsi" w:eastAsiaTheme="minorHAnsi" w:hAnsiTheme="minorHAnsi" w:cstheme="minorBidi"/>
          <w:sz w:val="22"/>
          <w:szCs w:val="22"/>
        </w:rPr>
      </w:pPr>
      <w:r w:rsidRPr="00EA2F26">
        <w:rPr>
          <w:rFonts w:asciiTheme="minorHAnsi" w:eastAsiaTheme="minorHAnsi" w:hAnsiTheme="minorHAnsi" w:cstheme="minorBidi"/>
          <w:sz w:val="22"/>
          <w:szCs w:val="22"/>
        </w:rPr>
        <w:t>Plans to introduce demand management measures are based on effective community engagement to ensure the resulting level of service meets user/community expecta</w:t>
      </w:r>
      <w:r>
        <w:rPr>
          <w:rFonts w:asciiTheme="minorHAnsi" w:eastAsiaTheme="minorHAnsi" w:hAnsiTheme="minorHAnsi" w:cstheme="minorBidi"/>
          <w:sz w:val="22"/>
          <w:szCs w:val="22"/>
        </w:rPr>
        <w:t>tions. Such plans are based on the following</w:t>
      </w:r>
      <w:r w:rsidRPr="00EA2F26">
        <w:rPr>
          <w:rFonts w:asciiTheme="minorHAnsi" w:eastAsiaTheme="minorHAnsi" w:hAnsiTheme="minorHAnsi" w:cstheme="minorBidi"/>
          <w:sz w:val="22"/>
          <w:szCs w:val="22"/>
        </w:rPr>
        <w:t xml:space="preserve"> hierarchy of options to meeting community needs with infrastructure:</w:t>
      </w:r>
    </w:p>
    <w:p w:rsidR="00D02973" w:rsidRPr="00EA2F26" w:rsidRDefault="00D02973" w:rsidP="00D02973">
      <w:pPr>
        <w:pStyle w:val="CTAMPBody"/>
        <w:numPr>
          <w:ilvl w:val="0"/>
          <w:numId w:val="36"/>
        </w:numPr>
        <w:spacing w:after="60" w:line="276" w:lineRule="auto"/>
        <w:ind w:left="714" w:hanging="357"/>
        <w:rPr>
          <w:rFonts w:asciiTheme="minorHAnsi" w:eastAsiaTheme="minorHAnsi" w:hAnsiTheme="minorHAnsi" w:cstheme="minorBidi"/>
          <w:sz w:val="22"/>
          <w:szCs w:val="22"/>
        </w:rPr>
      </w:pPr>
      <w:r w:rsidRPr="00EA2F26">
        <w:rPr>
          <w:rFonts w:asciiTheme="minorHAnsi" w:eastAsiaTheme="minorHAnsi" w:hAnsiTheme="minorHAnsi" w:cstheme="minorBidi"/>
          <w:sz w:val="22"/>
          <w:szCs w:val="22"/>
        </w:rPr>
        <w:t>Influence user behaviour (manage demand)</w:t>
      </w:r>
    </w:p>
    <w:p w:rsidR="00D02973" w:rsidRPr="00EA2F26" w:rsidRDefault="00D02973" w:rsidP="00D02973">
      <w:pPr>
        <w:pStyle w:val="CTAMPBody"/>
        <w:numPr>
          <w:ilvl w:val="0"/>
          <w:numId w:val="36"/>
        </w:numPr>
        <w:spacing w:after="60" w:line="276" w:lineRule="auto"/>
        <w:ind w:left="714" w:hanging="357"/>
        <w:rPr>
          <w:rFonts w:asciiTheme="minorHAnsi" w:eastAsiaTheme="minorHAnsi" w:hAnsiTheme="minorHAnsi" w:cstheme="minorBidi"/>
          <w:sz w:val="22"/>
          <w:szCs w:val="22"/>
        </w:rPr>
      </w:pPr>
      <w:r w:rsidRPr="00EA2F26">
        <w:rPr>
          <w:rFonts w:asciiTheme="minorHAnsi" w:eastAsiaTheme="minorHAnsi" w:hAnsiTheme="minorHAnsi" w:cstheme="minorBidi"/>
          <w:sz w:val="22"/>
          <w:szCs w:val="22"/>
        </w:rPr>
        <w:t>Maximising use from existing assets</w:t>
      </w:r>
    </w:p>
    <w:p w:rsidR="00D02973" w:rsidRPr="00E76F54" w:rsidRDefault="00D02973" w:rsidP="00D02973">
      <w:pPr>
        <w:pStyle w:val="CTAMPBody"/>
        <w:numPr>
          <w:ilvl w:val="0"/>
          <w:numId w:val="36"/>
        </w:numPr>
        <w:spacing w:line="276" w:lineRule="auto"/>
        <w:ind w:left="714" w:hanging="357"/>
        <w:rPr>
          <w:rFonts w:asciiTheme="minorHAnsi" w:eastAsiaTheme="minorHAnsi" w:hAnsiTheme="minorHAnsi" w:cstheme="minorBidi"/>
          <w:sz w:val="22"/>
          <w:szCs w:val="22"/>
        </w:rPr>
      </w:pPr>
      <w:r w:rsidRPr="00EA2F26">
        <w:rPr>
          <w:rFonts w:asciiTheme="minorHAnsi" w:eastAsiaTheme="minorHAnsi" w:hAnsiTheme="minorHAnsi" w:cstheme="minorBidi"/>
          <w:sz w:val="22"/>
          <w:szCs w:val="22"/>
        </w:rPr>
        <w:t>Expanding or constructing new assets</w:t>
      </w:r>
      <w:r>
        <w:rPr>
          <w:rFonts w:asciiTheme="minorHAnsi" w:eastAsiaTheme="minorHAnsi" w:hAnsiTheme="minorHAnsi" w:cstheme="minorBidi"/>
          <w:sz w:val="22"/>
          <w:szCs w:val="22"/>
        </w:rPr>
        <w:t>.</w:t>
      </w:r>
    </w:p>
    <w:p w:rsidR="00D02973" w:rsidRPr="00DF2FAC" w:rsidRDefault="00D02973" w:rsidP="00D02973">
      <w:pPr>
        <w:pStyle w:val="Heading1"/>
        <w:spacing w:before="0" w:after="200"/>
        <w:rPr>
          <w:rFonts w:asciiTheme="minorHAnsi" w:hAnsiTheme="minorHAnsi"/>
        </w:rPr>
      </w:pPr>
      <w:bookmarkStart w:id="32" w:name="_Toc448475189"/>
      <w:r w:rsidRPr="00DF2FAC">
        <w:rPr>
          <w:rFonts w:asciiTheme="minorHAnsi" w:hAnsiTheme="minorHAnsi"/>
        </w:rPr>
        <w:t xml:space="preserve">4.0 </w:t>
      </w:r>
      <w:r w:rsidRPr="00DF2FAC">
        <w:rPr>
          <w:rFonts w:asciiTheme="minorHAnsi" w:hAnsiTheme="minorHAnsi"/>
        </w:rPr>
        <w:tab/>
        <w:t>Lifecycle Management Plan</w:t>
      </w:r>
      <w:bookmarkEnd w:id="32"/>
    </w:p>
    <w:p w:rsidR="00D02973" w:rsidRPr="00EA2F26" w:rsidRDefault="00D02973" w:rsidP="00D02973">
      <w:r w:rsidRPr="00EA2F26">
        <w:t xml:space="preserve">Lifecycle management details how </w:t>
      </w:r>
      <w:r>
        <w:t>Council</w:t>
      </w:r>
      <w:r w:rsidRPr="00EA2F26">
        <w:t xml:space="preserve"> plans to manage and operate its recreation and open space assets at the agreed levels of service, while optimising the life cycle costs.  This section outlines strategies to ensure sustainability. Based on predictive modelling, testing of assumptions, risk identification and sample testing, a determination has been made as to the necessary level of operations, maintenance and renewal funding to ensure desired levels of service are achieved on a whole of life basis. The figure below provides a graphical representation of the stages in the asset lifecycle.</w:t>
      </w:r>
    </w:p>
    <w:p w:rsidR="00D02973" w:rsidRPr="00EA2F26" w:rsidRDefault="00D02973" w:rsidP="00D02973">
      <w:pPr>
        <w:keepNext/>
        <w:spacing w:before="240"/>
        <w:jc w:val="both"/>
        <w:rPr>
          <w:rFonts w:eastAsia="Times New Roman" w:cs="Calibri"/>
          <w:b/>
          <w:bCs/>
        </w:rPr>
      </w:pPr>
      <w:r>
        <w:rPr>
          <w:rFonts w:eastAsia="Times New Roman" w:cs="Calibri"/>
          <w:b/>
          <w:bCs/>
        </w:rPr>
        <w:lastRenderedPageBreak/>
        <w:t>Figure 4</w:t>
      </w:r>
      <w:r w:rsidRPr="00EA2F26">
        <w:rPr>
          <w:rFonts w:eastAsia="Times New Roman" w:cs="Calibri"/>
          <w:b/>
          <w:bCs/>
        </w:rPr>
        <w:t>: Asset Lifecycle</w:t>
      </w:r>
      <w:r w:rsidRPr="00EA2F26">
        <w:rPr>
          <w:rFonts w:eastAsia="Times New Roman" w:cs="Calibri"/>
          <w:b/>
          <w:bCs/>
          <w:vertAlign w:val="superscript"/>
        </w:rPr>
        <w:footnoteReference w:id="7"/>
      </w:r>
    </w:p>
    <w:p w:rsidR="00D02973" w:rsidRPr="00EA2F26" w:rsidRDefault="00D02973" w:rsidP="00D02973">
      <w:pPr>
        <w:jc w:val="center"/>
      </w:pPr>
      <w:r w:rsidRPr="00EA2F26">
        <w:rPr>
          <w:noProof/>
          <w:lang w:eastAsia="en-AU"/>
        </w:rPr>
        <w:drawing>
          <wp:inline distT="0" distB="0" distL="0" distR="0" wp14:anchorId="560BB060" wp14:editId="197A49B7">
            <wp:extent cx="2775005" cy="2831632"/>
            <wp:effectExtent l="0" t="0" r="635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774337" cy="2830950"/>
                    </a:xfrm>
                    <a:prstGeom prst="rect">
                      <a:avLst/>
                    </a:prstGeom>
                  </pic:spPr>
                </pic:pic>
              </a:graphicData>
            </a:graphic>
          </wp:inline>
        </w:drawing>
      </w:r>
    </w:p>
    <w:p w:rsidR="00D02973" w:rsidRPr="00EA2F26" w:rsidRDefault="00D02973" w:rsidP="00D02973"/>
    <w:p w:rsidR="00D02973" w:rsidRPr="00EA2F26" w:rsidRDefault="00D02973" w:rsidP="00D02973">
      <w:r w:rsidRPr="00EA2F26">
        <w:t xml:space="preserve">As custodian of the community’s infrastructure, </w:t>
      </w:r>
      <w:r>
        <w:t>Council</w:t>
      </w:r>
      <w:r w:rsidRPr="00EA2F26">
        <w:t xml:space="preserve">’s function is to provide a range of services through the management of its recreation and open space assets. The cost imposition to </w:t>
      </w:r>
      <w:r>
        <w:t>Council</w:t>
      </w:r>
      <w:r w:rsidRPr="00EA2F26">
        <w:t xml:space="preserve"> involves the following aspects:</w:t>
      </w:r>
    </w:p>
    <w:p w:rsidR="00D02973" w:rsidRPr="00EA2F26" w:rsidRDefault="00D02973" w:rsidP="00D02973">
      <w:pPr>
        <w:numPr>
          <w:ilvl w:val="0"/>
          <w:numId w:val="24"/>
        </w:numPr>
        <w:contextualSpacing/>
      </w:pPr>
      <w:r w:rsidRPr="00EA2F26">
        <w:t>Identifying the need and planning for the infrastructure</w:t>
      </w:r>
    </w:p>
    <w:p w:rsidR="00D02973" w:rsidRPr="00EA2F26" w:rsidRDefault="00D02973" w:rsidP="00D02973">
      <w:pPr>
        <w:numPr>
          <w:ilvl w:val="0"/>
          <w:numId w:val="24"/>
        </w:numPr>
        <w:contextualSpacing/>
      </w:pPr>
      <w:r w:rsidRPr="00EA2F26">
        <w:t>Procurement and construction</w:t>
      </w:r>
    </w:p>
    <w:p w:rsidR="00D02973" w:rsidRPr="00EA2F26" w:rsidRDefault="00D02973" w:rsidP="00D02973">
      <w:pPr>
        <w:numPr>
          <w:ilvl w:val="0"/>
          <w:numId w:val="24"/>
        </w:numPr>
        <w:contextualSpacing/>
      </w:pPr>
      <w:r w:rsidRPr="00EA2F26">
        <w:t xml:space="preserve">Operations, maintenance and condition monitoring </w:t>
      </w:r>
    </w:p>
    <w:p w:rsidR="00D02973" w:rsidRPr="00EA2F26" w:rsidRDefault="00D02973" w:rsidP="00D02973">
      <w:pPr>
        <w:numPr>
          <w:ilvl w:val="0"/>
          <w:numId w:val="24"/>
        </w:numPr>
        <w:contextualSpacing/>
      </w:pPr>
      <w:r w:rsidRPr="00EA2F26">
        <w:t>Decommissioning or renewal/replacement (end of the useful service life of the asset).</w:t>
      </w:r>
    </w:p>
    <w:p w:rsidR="00D02973" w:rsidRPr="00DF2FAC" w:rsidRDefault="00D02973" w:rsidP="00D02973">
      <w:pPr>
        <w:pStyle w:val="Heading2"/>
        <w:spacing w:after="200"/>
        <w:rPr>
          <w:rFonts w:asciiTheme="minorHAnsi" w:hAnsiTheme="minorHAnsi"/>
          <w:color w:val="2E74B5" w:themeColor="accent1" w:themeShade="BF"/>
        </w:rPr>
      </w:pPr>
      <w:bookmarkStart w:id="33" w:name="_Toc448475190"/>
      <w:r w:rsidRPr="00DF2FAC">
        <w:rPr>
          <w:rFonts w:asciiTheme="minorHAnsi" w:hAnsiTheme="minorHAnsi"/>
          <w:color w:val="2E74B5" w:themeColor="accent1" w:themeShade="BF"/>
        </w:rPr>
        <w:t>4.1</w:t>
      </w:r>
      <w:r w:rsidRPr="00DF2FAC">
        <w:rPr>
          <w:rFonts w:asciiTheme="minorHAnsi" w:hAnsiTheme="minorHAnsi"/>
          <w:color w:val="2E74B5" w:themeColor="accent1" w:themeShade="BF"/>
        </w:rPr>
        <w:tab/>
        <w:t>Asset Description and Quantity</w:t>
      </w:r>
      <w:bookmarkEnd w:id="33"/>
    </w:p>
    <w:p w:rsidR="00D02973" w:rsidRPr="00EA2F26" w:rsidRDefault="00D02973" w:rsidP="00D02973">
      <w:pPr>
        <w:pStyle w:val="Heading3"/>
        <w:spacing w:after="200"/>
        <w:rPr>
          <w:rFonts w:asciiTheme="minorHAnsi" w:hAnsiTheme="minorHAnsi"/>
          <w:color w:val="7F7F7F" w:themeColor="text1" w:themeTint="80"/>
        </w:rPr>
      </w:pPr>
      <w:bookmarkStart w:id="34" w:name="_Toc448475191"/>
      <w:r w:rsidRPr="00EA2F26">
        <w:rPr>
          <w:rFonts w:asciiTheme="minorHAnsi" w:hAnsiTheme="minorHAnsi"/>
          <w:color w:val="7F7F7F" w:themeColor="text1" w:themeTint="80"/>
        </w:rPr>
        <w:t>4.1.1</w:t>
      </w:r>
      <w:r w:rsidRPr="00EA2F26">
        <w:rPr>
          <w:rFonts w:asciiTheme="minorHAnsi" w:hAnsiTheme="minorHAnsi"/>
          <w:color w:val="7F7F7F" w:themeColor="text1" w:themeTint="80"/>
        </w:rPr>
        <w:tab/>
        <w:t>Asset Quantities</w:t>
      </w:r>
      <w:bookmarkEnd w:id="34"/>
    </w:p>
    <w:p w:rsidR="00D02973" w:rsidRPr="00EA2F26" w:rsidRDefault="00D02973" w:rsidP="00D02973">
      <w:r w:rsidRPr="00EA2F26">
        <w:t xml:space="preserve">This R&amp;OS-AMP covers approximately 450 hectares of reserves and parkland under Bayside City </w:t>
      </w:r>
      <w:r>
        <w:t>Council</w:t>
      </w:r>
      <w:r w:rsidRPr="00EA2F26">
        <w:t xml:space="preserve">’s management responsibility together with their associated infrastructure assets and all street based tree planting and landscaping. In total, Bayside’s recreation and open space assets have a current replacement value </w:t>
      </w:r>
      <w:r>
        <w:t xml:space="preserve">(excluding unimproved land value) </w:t>
      </w:r>
      <w:r w:rsidRPr="00EA2F26">
        <w:t>of $9</w:t>
      </w:r>
      <w:r>
        <w:t>8.5 million</w:t>
      </w:r>
      <w:r w:rsidRPr="00EA2F26">
        <w:t xml:space="preserve"> the most significant functional class being ‘Sportsgrounds’.</w:t>
      </w:r>
    </w:p>
    <w:p w:rsidR="00D02973" w:rsidRPr="00EA2F26" w:rsidRDefault="00D02973" w:rsidP="00D02973">
      <w:r w:rsidRPr="00EA2F26">
        <w:t xml:space="preserve">The scope of the assets for which Bayside City </w:t>
      </w:r>
      <w:r>
        <w:t>Council</w:t>
      </w:r>
      <w:r w:rsidRPr="00EA2F26">
        <w:t xml:space="preserve"> is responsible are summarised in Table 4 below.</w:t>
      </w:r>
    </w:p>
    <w:p w:rsidR="00D02973" w:rsidRPr="00EA2F26" w:rsidRDefault="00D02973" w:rsidP="00D02973">
      <w:pPr>
        <w:rPr>
          <w:b/>
        </w:rPr>
      </w:pPr>
      <w:r w:rsidRPr="00EA2F26">
        <w:rPr>
          <w:b/>
        </w:rPr>
        <w:t>Table 4: Categories for Recreation and Open Space Assets</w:t>
      </w:r>
    </w:p>
    <w:tbl>
      <w:tblPr>
        <w:tblpPr w:leftFromText="180" w:rightFromText="180" w:vertAnchor="text" w:horzAnchor="margin" w:tblpY="36"/>
        <w:tblW w:w="8500" w:type="dxa"/>
        <w:tblLook w:val="04A0" w:firstRow="1" w:lastRow="0" w:firstColumn="1" w:lastColumn="0" w:noHBand="0" w:noVBand="1"/>
      </w:tblPr>
      <w:tblGrid>
        <w:gridCol w:w="2908"/>
        <w:gridCol w:w="927"/>
        <w:gridCol w:w="1106"/>
        <w:gridCol w:w="1407"/>
        <w:gridCol w:w="735"/>
        <w:gridCol w:w="1417"/>
      </w:tblGrid>
      <w:tr w:rsidR="00D02973" w:rsidRPr="00EA2F26" w:rsidTr="00DF2FAC">
        <w:trPr>
          <w:trHeight w:val="698"/>
        </w:trPr>
        <w:tc>
          <w:tcPr>
            <w:tcW w:w="2972" w:type="dxa"/>
            <w:tcBorders>
              <w:top w:val="single" w:sz="4" w:space="0" w:color="auto"/>
              <w:left w:val="single" w:sz="4" w:space="0" w:color="auto"/>
              <w:bottom w:val="single" w:sz="8" w:space="0" w:color="auto"/>
              <w:right w:val="single" w:sz="4" w:space="0" w:color="auto"/>
            </w:tcBorders>
            <w:shd w:val="clear" w:color="auto" w:fill="000000" w:themeFill="text1"/>
            <w:vAlign w:val="center"/>
            <w:hideMark/>
          </w:tcPr>
          <w:p w:rsidR="00D02973" w:rsidRPr="00EA2F26" w:rsidRDefault="00D02973" w:rsidP="00DF2FAC">
            <w:pPr>
              <w:spacing w:after="0"/>
              <w:rPr>
                <w:sz w:val="20"/>
                <w:szCs w:val="20"/>
                <w:lang w:eastAsia="en-AU"/>
              </w:rPr>
            </w:pPr>
            <w:r w:rsidRPr="00EA2F26">
              <w:rPr>
                <w:sz w:val="20"/>
                <w:szCs w:val="20"/>
                <w:lang w:eastAsia="en-AU"/>
              </w:rPr>
              <w:lastRenderedPageBreak/>
              <w:t>Asset Type</w:t>
            </w:r>
          </w:p>
        </w:tc>
        <w:tc>
          <w:tcPr>
            <w:tcW w:w="851" w:type="dxa"/>
            <w:tcBorders>
              <w:top w:val="single" w:sz="8" w:space="0" w:color="auto"/>
              <w:left w:val="single" w:sz="4" w:space="0" w:color="auto"/>
              <w:bottom w:val="single" w:sz="8" w:space="0" w:color="auto"/>
              <w:right w:val="single" w:sz="8" w:space="0" w:color="auto"/>
            </w:tcBorders>
            <w:shd w:val="clear" w:color="auto" w:fill="000000" w:themeFill="text1"/>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Quantity</w:t>
            </w:r>
          </w:p>
        </w:tc>
        <w:tc>
          <w:tcPr>
            <w:tcW w:w="1134" w:type="dxa"/>
            <w:tcBorders>
              <w:top w:val="single" w:sz="8" w:space="0" w:color="auto"/>
              <w:left w:val="nil"/>
              <w:bottom w:val="single" w:sz="8" w:space="0" w:color="auto"/>
              <w:right w:val="single" w:sz="8" w:space="0" w:color="auto"/>
            </w:tcBorders>
            <w:shd w:val="clear" w:color="auto" w:fill="000000" w:themeFill="text1"/>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Area (ha) or Length (km)</w:t>
            </w:r>
          </w:p>
        </w:tc>
        <w:tc>
          <w:tcPr>
            <w:tcW w:w="1417" w:type="dxa"/>
            <w:tcBorders>
              <w:top w:val="single" w:sz="8" w:space="0" w:color="auto"/>
              <w:left w:val="nil"/>
              <w:bottom w:val="single" w:sz="8" w:space="0" w:color="auto"/>
              <w:right w:val="single" w:sz="8" w:space="0" w:color="auto"/>
            </w:tcBorders>
            <w:shd w:val="clear" w:color="auto" w:fill="000000" w:themeFill="text1"/>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Replacement Value</w:t>
            </w:r>
          </w:p>
        </w:tc>
        <w:tc>
          <w:tcPr>
            <w:tcW w:w="709" w:type="dxa"/>
            <w:tcBorders>
              <w:top w:val="single" w:sz="8" w:space="0" w:color="auto"/>
              <w:left w:val="nil"/>
              <w:bottom w:val="single" w:sz="8" w:space="0" w:color="auto"/>
              <w:right w:val="single" w:sz="8" w:space="0" w:color="auto"/>
            </w:tcBorders>
            <w:shd w:val="clear" w:color="auto" w:fill="000000" w:themeFill="text1"/>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Useful Life</w:t>
            </w:r>
          </w:p>
        </w:tc>
        <w:tc>
          <w:tcPr>
            <w:tcW w:w="1417" w:type="dxa"/>
            <w:tcBorders>
              <w:top w:val="single" w:sz="8" w:space="0" w:color="auto"/>
              <w:left w:val="nil"/>
              <w:bottom w:val="single" w:sz="8" w:space="0" w:color="auto"/>
              <w:right w:val="single" w:sz="8" w:space="0" w:color="auto"/>
            </w:tcBorders>
            <w:shd w:val="clear" w:color="auto" w:fill="000000" w:themeFill="text1"/>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Average Annual Renewal Value</w:t>
            </w:r>
          </w:p>
        </w:tc>
      </w:tr>
      <w:tr w:rsidR="00D02973" w:rsidRPr="00EA2F26" w:rsidTr="00DF2FAC">
        <w:trPr>
          <w:trHeight w:val="288"/>
        </w:trPr>
        <w:tc>
          <w:tcPr>
            <w:tcW w:w="2972" w:type="dxa"/>
            <w:tcBorders>
              <w:top w:val="nil"/>
              <w:left w:val="single" w:sz="4" w:space="0" w:color="auto"/>
              <w:bottom w:val="nil"/>
              <w:right w:val="single" w:sz="4" w:space="0" w:color="auto"/>
            </w:tcBorders>
            <w:shd w:val="clear" w:color="auto" w:fill="auto"/>
            <w:vAlign w:val="center"/>
            <w:hideMark/>
          </w:tcPr>
          <w:p w:rsidR="00D02973" w:rsidRPr="00EA2F26" w:rsidRDefault="00D02973" w:rsidP="00DF2FAC">
            <w:pPr>
              <w:spacing w:after="0"/>
              <w:rPr>
                <w:sz w:val="20"/>
                <w:szCs w:val="20"/>
                <w:lang w:eastAsia="en-AU"/>
              </w:rPr>
            </w:pPr>
            <w:r w:rsidRPr="00EA2F26">
              <w:rPr>
                <w:sz w:val="20"/>
                <w:szCs w:val="20"/>
                <w:lang w:eastAsia="en-AU"/>
              </w:rPr>
              <w:t xml:space="preserve">Playgrounds </w:t>
            </w:r>
          </w:p>
        </w:tc>
        <w:tc>
          <w:tcPr>
            <w:tcW w:w="851" w:type="dxa"/>
            <w:tcBorders>
              <w:top w:val="nil"/>
              <w:left w:val="single" w:sz="4" w:space="0" w:color="auto"/>
              <w:bottom w:val="nil"/>
              <w:right w:val="single" w:sz="8"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66</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D02973" w:rsidRPr="00EA2F26" w:rsidRDefault="00D02973" w:rsidP="00DF2FAC">
            <w:pPr>
              <w:spacing w:after="0"/>
              <w:jc w:val="center"/>
              <w:rPr>
                <w:sz w:val="20"/>
                <w:szCs w:val="20"/>
                <w:lang w:eastAsia="en-AU"/>
              </w:rPr>
            </w:pPr>
          </w:p>
        </w:tc>
        <w:tc>
          <w:tcPr>
            <w:tcW w:w="1417" w:type="dxa"/>
            <w:tcBorders>
              <w:top w:val="nil"/>
              <w:left w:val="nil"/>
              <w:bottom w:val="nil"/>
              <w:right w:val="single" w:sz="8"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$3,500,000</w:t>
            </w:r>
          </w:p>
        </w:tc>
        <w:tc>
          <w:tcPr>
            <w:tcW w:w="709" w:type="dxa"/>
            <w:tcBorders>
              <w:top w:val="nil"/>
              <w:left w:val="nil"/>
              <w:bottom w:val="nil"/>
              <w:right w:val="single" w:sz="8"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25</w:t>
            </w:r>
          </w:p>
        </w:tc>
        <w:tc>
          <w:tcPr>
            <w:tcW w:w="1417" w:type="dxa"/>
            <w:tcBorders>
              <w:top w:val="nil"/>
              <w:left w:val="nil"/>
              <w:bottom w:val="nil"/>
              <w:right w:val="single" w:sz="8" w:space="0" w:color="auto"/>
            </w:tcBorders>
            <w:shd w:val="clear" w:color="auto" w:fill="auto"/>
            <w:noWrap/>
            <w:vAlign w:val="bottom"/>
            <w:hideMark/>
          </w:tcPr>
          <w:p w:rsidR="00D02973" w:rsidRPr="00EA2F26" w:rsidRDefault="00D02973" w:rsidP="00DF2FAC">
            <w:pPr>
              <w:spacing w:after="0"/>
              <w:jc w:val="center"/>
              <w:rPr>
                <w:sz w:val="20"/>
                <w:szCs w:val="20"/>
                <w:lang w:eastAsia="en-AU"/>
              </w:rPr>
            </w:pPr>
            <w:r w:rsidRPr="00EA2F26">
              <w:rPr>
                <w:sz w:val="20"/>
                <w:szCs w:val="20"/>
                <w:lang w:eastAsia="en-AU"/>
              </w:rPr>
              <w:t>$140,000</w:t>
            </w:r>
          </w:p>
        </w:tc>
      </w:tr>
      <w:tr w:rsidR="00D02973" w:rsidRPr="00EA2F26" w:rsidTr="00DF2FAC">
        <w:trPr>
          <w:trHeight w:val="288"/>
        </w:trPr>
        <w:tc>
          <w:tcPr>
            <w:tcW w:w="2972" w:type="dxa"/>
            <w:tcBorders>
              <w:top w:val="nil"/>
              <w:left w:val="single" w:sz="4" w:space="0" w:color="auto"/>
              <w:bottom w:val="nil"/>
              <w:right w:val="single" w:sz="4" w:space="0" w:color="auto"/>
            </w:tcBorders>
            <w:shd w:val="clear" w:color="auto" w:fill="auto"/>
            <w:vAlign w:val="center"/>
            <w:hideMark/>
          </w:tcPr>
          <w:p w:rsidR="00D02973" w:rsidRPr="00EA2F26" w:rsidRDefault="00D02973" w:rsidP="00DF2FAC">
            <w:pPr>
              <w:spacing w:after="0"/>
              <w:rPr>
                <w:sz w:val="20"/>
                <w:szCs w:val="20"/>
                <w:lang w:eastAsia="en-AU"/>
              </w:rPr>
            </w:pPr>
            <w:r w:rsidRPr="00EA2F26">
              <w:rPr>
                <w:sz w:val="20"/>
                <w:szCs w:val="20"/>
                <w:lang w:eastAsia="en-AU"/>
              </w:rPr>
              <w:t xml:space="preserve">Skate parks </w:t>
            </w:r>
          </w:p>
        </w:tc>
        <w:tc>
          <w:tcPr>
            <w:tcW w:w="851" w:type="dxa"/>
            <w:tcBorders>
              <w:top w:val="nil"/>
              <w:left w:val="single" w:sz="4" w:space="0" w:color="auto"/>
              <w:bottom w:val="nil"/>
              <w:right w:val="single" w:sz="8"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3</w:t>
            </w:r>
          </w:p>
        </w:tc>
        <w:tc>
          <w:tcPr>
            <w:tcW w:w="1134" w:type="dxa"/>
            <w:vMerge/>
            <w:tcBorders>
              <w:top w:val="nil"/>
              <w:left w:val="single" w:sz="8" w:space="0" w:color="auto"/>
              <w:bottom w:val="single" w:sz="8" w:space="0" w:color="000000"/>
              <w:right w:val="single" w:sz="8" w:space="0" w:color="auto"/>
            </w:tcBorders>
            <w:vAlign w:val="center"/>
            <w:hideMark/>
          </w:tcPr>
          <w:p w:rsidR="00D02973" w:rsidRPr="00EA2F26" w:rsidRDefault="00D02973" w:rsidP="00DF2FAC">
            <w:pPr>
              <w:spacing w:after="0"/>
              <w:jc w:val="center"/>
              <w:rPr>
                <w:sz w:val="20"/>
                <w:szCs w:val="20"/>
                <w:lang w:eastAsia="en-AU"/>
              </w:rPr>
            </w:pPr>
          </w:p>
        </w:tc>
        <w:tc>
          <w:tcPr>
            <w:tcW w:w="1417" w:type="dxa"/>
            <w:tcBorders>
              <w:top w:val="nil"/>
              <w:left w:val="nil"/>
              <w:bottom w:val="nil"/>
              <w:right w:val="single" w:sz="8"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$240,000</w:t>
            </w:r>
          </w:p>
        </w:tc>
        <w:tc>
          <w:tcPr>
            <w:tcW w:w="709" w:type="dxa"/>
            <w:tcBorders>
              <w:top w:val="nil"/>
              <w:left w:val="nil"/>
              <w:bottom w:val="nil"/>
              <w:right w:val="single" w:sz="8"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25</w:t>
            </w:r>
          </w:p>
        </w:tc>
        <w:tc>
          <w:tcPr>
            <w:tcW w:w="1417" w:type="dxa"/>
            <w:tcBorders>
              <w:top w:val="nil"/>
              <w:left w:val="nil"/>
              <w:bottom w:val="nil"/>
              <w:right w:val="single" w:sz="8" w:space="0" w:color="auto"/>
            </w:tcBorders>
            <w:shd w:val="clear" w:color="auto" w:fill="auto"/>
            <w:noWrap/>
            <w:vAlign w:val="bottom"/>
            <w:hideMark/>
          </w:tcPr>
          <w:p w:rsidR="00D02973" w:rsidRPr="00EA2F26" w:rsidRDefault="00D02973" w:rsidP="00DF2FAC">
            <w:pPr>
              <w:spacing w:after="0"/>
              <w:jc w:val="center"/>
              <w:rPr>
                <w:sz w:val="20"/>
                <w:szCs w:val="20"/>
                <w:lang w:eastAsia="en-AU"/>
              </w:rPr>
            </w:pPr>
            <w:r w:rsidRPr="00EA2F26">
              <w:rPr>
                <w:sz w:val="20"/>
                <w:szCs w:val="20"/>
                <w:lang w:eastAsia="en-AU"/>
              </w:rPr>
              <w:t>$9,600</w:t>
            </w:r>
          </w:p>
        </w:tc>
      </w:tr>
      <w:tr w:rsidR="00D02973" w:rsidRPr="00EA2F26" w:rsidTr="00DF2FAC">
        <w:trPr>
          <w:trHeight w:val="300"/>
        </w:trPr>
        <w:tc>
          <w:tcPr>
            <w:tcW w:w="2972" w:type="dxa"/>
            <w:tcBorders>
              <w:top w:val="nil"/>
              <w:left w:val="single" w:sz="4" w:space="0" w:color="auto"/>
              <w:bottom w:val="single" w:sz="8" w:space="0" w:color="auto"/>
              <w:right w:val="single" w:sz="4" w:space="0" w:color="auto"/>
            </w:tcBorders>
            <w:shd w:val="clear" w:color="auto" w:fill="auto"/>
            <w:vAlign w:val="center"/>
            <w:hideMark/>
          </w:tcPr>
          <w:p w:rsidR="00D02973" w:rsidRPr="00EA2F26" w:rsidRDefault="00D02973" w:rsidP="00DF2FAC">
            <w:pPr>
              <w:spacing w:after="0"/>
              <w:rPr>
                <w:sz w:val="20"/>
                <w:szCs w:val="20"/>
                <w:lang w:eastAsia="en-AU"/>
              </w:rPr>
            </w:pPr>
            <w:r w:rsidRPr="00EA2F26">
              <w:rPr>
                <w:sz w:val="20"/>
                <w:szCs w:val="20"/>
                <w:lang w:eastAsia="en-AU"/>
              </w:rPr>
              <w:t>Basketball Practice Courts</w:t>
            </w:r>
          </w:p>
        </w:tc>
        <w:tc>
          <w:tcPr>
            <w:tcW w:w="851" w:type="dxa"/>
            <w:tcBorders>
              <w:top w:val="nil"/>
              <w:left w:val="single" w:sz="4" w:space="0" w:color="auto"/>
              <w:bottom w:val="single" w:sz="8" w:space="0" w:color="auto"/>
              <w:right w:val="single" w:sz="8"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19</w:t>
            </w:r>
          </w:p>
        </w:tc>
        <w:tc>
          <w:tcPr>
            <w:tcW w:w="1134" w:type="dxa"/>
            <w:vMerge/>
            <w:tcBorders>
              <w:top w:val="nil"/>
              <w:left w:val="single" w:sz="8" w:space="0" w:color="auto"/>
              <w:bottom w:val="single" w:sz="8" w:space="0" w:color="000000"/>
              <w:right w:val="single" w:sz="8" w:space="0" w:color="auto"/>
            </w:tcBorders>
            <w:vAlign w:val="center"/>
            <w:hideMark/>
          </w:tcPr>
          <w:p w:rsidR="00D02973" w:rsidRPr="00EA2F26" w:rsidRDefault="00D02973" w:rsidP="00DF2FAC">
            <w:pPr>
              <w:spacing w:after="0"/>
              <w:jc w:val="center"/>
              <w:rPr>
                <w:sz w:val="20"/>
                <w:szCs w:val="20"/>
                <w:lang w:eastAsia="en-AU"/>
              </w:rPr>
            </w:pPr>
          </w:p>
        </w:tc>
        <w:tc>
          <w:tcPr>
            <w:tcW w:w="1417" w:type="dxa"/>
            <w:tcBorders>
              <w:top w:val="nil"/>
              <w:left w:val="nil"/>
              <w:bottom w:val="single" w:sz="8" w:space="0" w:color="auto"/>
              <w:right w:val="single" w:sz="8"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$380,000</w:t>
            </w:r>
          </w:p>
        </w:tc>
        <w:tc>
          <w:tcPr>
            <w:tcW w:w="709" w:type="dxa"/>
            <w:tcBorders>
              <w:top w:val="nil"/>
              <w:left w:val="nil"/>
              <w:bottom w:val="single" w:sz="8" w:space="0" w:color="auto"/>
              <w:right w:val="single" w:sz="8"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25</w:t>
            </w:r>
          </w:p>
        </w:tc>
        <w:tc>
          <w:tcPr>
            <w:tcW w:w="1417" w:type="dxa"/>
            <w:tcBorders>
              <w:top w:val="nil"/>
              <w:left w:val="nil"/>
              <w:bottom w:val="single" w:sz="8" w:space="0" w:color="auto"/>
              <w:right w:val="single" w:sz="8" w:space="0" w:color="auto"/>
            </w:tcBorders>
            <w:shd w:val="clear" w:color="auto" w:fill="auto"/>
            <w:noWrap/>
            <w:vAlign w:val="bottom"/>
            <w:hideMark/>
          </w:tcPr>
          <w:p w:rsidR="00D02973" w:rsidRPr="00EA2F26" w:rsidRDefault="00D02973" w:rsidP="00DF2FAC">
            <w:pPr>
              <w:spacing w:after="0"/>
              <w:jc w:val="center"/>
              <w:rPr>
                <w:sz w:val="20"/>
                <w:szCs w:val="20"/>
                <w:lang w:eastAsia="en-AU"/>
              </w:rPr>
            </w:pPr>
            <w:r w:rsidRPr="00EA2F26">
              <w:rPr>
                <w:sz w:val="20"/>
                <w:szCs w:val="20"/>
                <w:lang w:eastAsia="en-AU"/>
              </w:rPr>
              <w:t>$15,200</w:t>
            </w:r>
          </w:p>
        </w:tc>
      </w:tr>
      <w:tr w:rsidR="00D02973" w:rsidRPr="00EA2F26" w:rsidTr="00DF2FAC">
        <w:trPr>
          <w:trHeight w:val="288"/>
        </w:trPr>
        <w:tc>
          <w:tcPr>
            <w:tcW w:w="2972" w:type="dxa"/>
            <w:tcBorders>
              <w:top w:val="nil"/>
              <w:left w:val="single" w:sz="4" w:space="0" w:color="auto"/>
              <w:bottom w:val="nil"/>
              <w:right w:val="single" w:sz="4" w:space="0" w:color="auto"/>
            </w:tcBorders>
            <w:shd w:val="clear" w:color="auto" w:fill="auto"/>
            <w:vAlign w:val="center"/>
            <w:hideMark/>
          </w:tcPr>
          <w:p w:rsidR="00D02973" w:rsidRPr="00EA2F26" w:rsidRDefault="00D02973" w:rsidP="00DF2FAC">
            <w:pPr>
              <w:spacing w:after="0"/>
              <w:rPr>
                <w:sz w:val="20"/>
                <w:szCs w:val="20"/>
                <w:lang w:eastAsia="en-AU"/>
              </w:rPr>
            </w:pPr>
            <w:r w:rsidRPr="00EA2F26">
              <w:rPr>
                <w:sz w:val="20"/>
                <w:szCs w:val="20"/>
                <w:lang w:eastAsia="en-AU"/>
              </w:rPr>
              <w:t xml:space="preserve"> Sportsgrounds (26 locations)</w:t>
            </w:r>
          </w:p>
        </w:tc>
        <w:tc>
          <w:tcPr>
            <w:tcW w:w="851" w:type="dxa"/>
            <w:tcBorders>
              <w:top w:val="nil"/>
              <w:left w:val="single" w:sz="4" w:space="0" w:color="auto"/>
              <w:bottom w:val="nil"/>
              <w:right w:val="single" w:sz="8"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36</w:t>
            </w:r>
          </w:p>
        </w:tc>
        <w:tc>
          <w:tcPr>
            <w:tcW w:w="1134" w:type="dxa"/>
            <w:tcBorders>
              <w:top w:val="nil"/>
              <w:left w:val="nil"/>
              <w:bottom w:val="nil"/>
              <w:right w:val="single" w:sz="8"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58.2</w:t>
            </w:r>
          </w:p>
        </w:tc>
        <w:tc>
          <w:tcPr>
            <w:tcW w:w="1417" w:type="dxa"/>
            <w:tcBorders>
              <w:top w:val="nil"/>
              <w:left w:val="nil"/>
              <w:bottom w:val="nil"/>
              <w:right w:val="single" w:sz="8"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$21,664,260</w:t>
            </w:r>
          </w:p>
        </w:tc>
        <w:tc>
          <w:tcPr>
            <w:tcW w:w="709" w:type="dxa"/>
            <w:tcBorders>
              <w:top w:val="nil"/>
              <w:left w:val="nil"/>
              <w:bottom w:val="nil"/>
              <w:right w:val="single" w:sz="8"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50</w:t>
            </w:r>
          </w:p>
        </w:tc>
        <w:tc>
          <w:tcPr>
            <w:tcW w:w="1417" w:type="dxa"/>
            <w:tcBorders>
              <w:top w:val="nil"/>
              <w:left w:val="nil"/>
              <w:bottom w:val="nil"/>
              <w:right w:val="single" w:sz="8" w:space="0" w:color="auto"/>
            </w:tcBorders>
            <w:shd w:val="clear" w:color="auto" w:fill="auto"/>
            <w:noWrap/>
            <w:vAlign w:val="bottom"/>
            <w:hideMark/>
          </w:tcPr>
          <w:p w:rsidR="00D02973" w:rsidRPr="00EA2F26" w:rsidRDefault="00D02973" w:rsidP="00DF2FAC">
            <w:pPr>
              <w:spacing w:after="0"/>
              <w:jc w:val="center"/>
              <w:rPr>
                <w:sz w:val="20"/>
                <w:szCs w:val="20"/>
                <w:lang w:eastAsia="en-AU"/>
              </w:rPr>
            </w:pPr>
            <w:r w:rsidRPr="00EA2F26">
              <w:rPr>
                <w:sz w:val="20"/>
                <w:szCs w:val="20"/>
                <w:lang w:eastAsia="en-AU"/>
              </w:rPr>
              <w:t>$433,285</w:t>
            </w:r>
          </w:p>
        </w:tc>
      </w:tr>
      <w:tr w:rsidR="00D02973" w:rsidRPr="00EA2F26" w:rsidTr="00DF2FAC">
        <w:trPr>
          <w:trHeight w:val="288"/>
        </w:trPr>
        <w:tc>
          <w:tcPr>
            <w:tcW w:w="2972" w:type="dxa"/>
            <w:tcBorders>
              <w:top w:val="nil"/>
              <w:left w:val="single" w:sz="4" w:space="0" w:color="auto"/>
              <w:bottom w:val="nil"/>
              <w:right w:val="single" w:sz="4" w:space="0" w:color="auto"/>
            </w:tcBorders>
            <w:shd w:val="clear" w:color="auto" w:fill="auto"/>
            <w:vAlign w:val="center"/>
            <w:hideMark/>
          </w:tcPr>
          <w:p w:rsidR="00D02973" w:rsidRPr="00EA2F26" w:rsidRDefault="00D02973" w:rsidP="00DF2FAC">
            <w:pPr>
              <w:spacing w:after="0"/>
              <w:rPr>
                <w:sz w:val="20"/>
                <w:szCs w:val="20"/>
                <w:lang w:eastAsia="en-AU"/>
              </w:rPr>
            </w:pPr>
            <w:r w:rsidRPr="00EA2F26">
              <w:rPr>
                <w:sz w:val="20"/>
                <w:szCs w:val="20"/>
                <w:lang w:eastAsia="en-AU"/>
              </w:rPr>
              <w:t>Athletic Tracks</w:t>
            </w:r>
          </w:p>
        </w:tc>
        <w:tc>
          <w:tcPr>
            <w:tcW w:w="851" w:type="dxa"/>
            <w:tcBorders>
              <w:top w:val="nil"/>
              <w:left w:val="single" w:sz="4" w:space="0" w:color="auto"/>
              <w:bottom w:val="nil"/>
              <w:right w:val="single" w:sz="8"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2</w:t>
            </w:r>
          </w:p>
        </w:tc>
        <w:tc>
          <w:tcPr>
            <w:tcW w:w="1134" w:type="dxa"/>
            <w:tcBorders>
              <w:top w:val="nil"/>
              <w:left w:val="nil"/>
              <w:bottom w:val="nil"/>
              <w:right w:val="single" w:sz="8" w:space="0" w:color="auto"/>
            </w:tcBorders>
            <w:shd w:val="clear" w:color="auto" w:fill="auto"/>
            <w:vAlign w:val="center"/>
            <w:hideMark/>
          </w:tcPr>
          <w:p w:rsidR="00D02973" w:rsidRPr="00EA2F26" w:rsidRDefault="00D02973" w:rsidP="00DF2FAC">
            <w:pPr>
              <w:spacing w:after="0"/>
              <w:jc w:val="center"/>
              <w:rPr>
                <w:sz w:val="20"/>
                <w:szCs w:val="20"/>
                <w:lang w:eastAsia="en-AU"/>
              </w:rPr>
            </w:pPr>
          </w:p>
        </w:tc>
        <w:tc>
          <w:tcPr>
            <w:tcW w:w="1417" w:type="dxa"/>
            <w:tcBorders>
              <w:top w:val="nil"/>
              <w:left w:val="nil"/>
              <w:bottom w:val="nil"/>
              <w:right w:val="single" w:sz="8"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$1,000,000</w:t>
            </w:r>
          </w:p>
        </w:tc>
        <w:tc>
          <w:tcPr>
            <w:tcW w:w="709" w:type="dxa"/>
            <w:tcBorders>
              <w:top w:val="nil"/>
              <w:left w:val="nil"/>
              <w:bottom w:val="nil"/>
              <w:right w:val="single" w:sz="8"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40</w:t>
            </w:r>
          </w:p>
        </w:tc>
        <w:tc>
          <w:tcPr>
            <w:tcW w:w="1417" w:type="dxa"/>
            <w:tcBorders>
              <w:top w:val="nil"/>
              <w:left w:val="nil"/>
              <w:bottom w:val="nil"/>
              <w:right w:val="single" w:sz="8" w:space="0" w:color="auto"/>
            </w:tcBorders>
            <w:shd w:val="clear" w:color="auto" w:fill="auto"/>
            <w:noWrap/>
            <w:vAlign w:val="bottom"/>
            <w:hideMark/>
          </w:tcPr>
          <w:p w:rsidR="00D02973" w:rsidRPr="00EA2F26" w:rsidRDefault="00D02973" w:rsidP="00DF2FAC">
            <w:pPr>
              <w:spacing w:after="0"/>
              <w:jc w:val="center"/>
              <w:rPr>
                <w:sz w:val="20"/>
                <w:szCs w:val="20"/>
                <w:lang w:eastAsia="en-AU"/>
              </w:rPr>
            </w:pPr>
            <w:r w:rsidRPr="00EA2F26">
              <w:rPr>
                <w:sz w:val="20"/>
                <w:szCs w:val="20"/>
                <w:lang w:eastAsia="en-AU"/>
              </w:rPr>
              <w:t>$25,000</w:t>
            </w:r>
          </w:p>
        </w:tc>
      </w:tr>
      <w:tr w:rsidR="00D02973" w:rsidRPr="00EA2F26" w:rsidTr="00DF2FAC">
        <w:trPr>
          <w:trHeight w:val="288"/>
        </w:trPr>
        <w:tc>
          <w:tcPr>
            <w:tcW w:w="2972" w:type="dxa"/>
            <w:tcBorders>
              <w:top w:val="nil"/>
              <w:left w:val="single" w:sz="4" w:space="0" w:color="auto"/>
              <w:bottom w:val="nil"/>
              <w:right w:val="single" w:sz="4" w:space="0" w:color="auto"/>
            </w:tcBorders>
            <w:shd w:val="clear" w:color="auto" w:fill="auto"/>
            <w:vAlign w:val="center"/>
            <w:hideMark/>
          </w:tcPr>
          <w:p w:rsidR="00D02973" w:rsidRPr="00EA2F26" w:rsidRDefault="00D02973" w:rsidP="00DF2FAC">
            <w:pPr>
              <w:spacing w:after="0"/>
              <w:rPr>
                <w:sz w:val="20"/>
                <w:szCs w:val="20"/>
                <w:lang w:eastAsia="en-AU"/>
              </w:rPr>
            </w:pPr>
            <w:r w:rsidRPr="00EA2F26">
              <w:rPr>
                <w:sz w:val="20"/>
                <w:szCs w:val="20"/>
                <w:lang w:eastAsia="en-AU"/>
              </w:rPr>
              <w:t xml:space="preserve">Sportsground Irrigation Systems </w:t>
            </w:r>
          </w:p>
        </w:tc>
        <w:tc>
          <w:tcPr>
            <w:tcW w:w="851" w:type="dxa"/>
            <w:tcBorders>
              <w:top w:val="nil"/>
              <w:left w:val="single" w:sz="4" w:space="0" w:color="auto"/>
              <w:bottom w:val="nil"/>
              <w:right w:val="single" w:sz="8"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29</w:t>
            </w:r>
          </w:p>
        </w:tc>
        <w:tc>
          <w:tcPr>
            <w:tcW w:w="1134" w:type="dxa"/>
            <w:tcBorders>
              <w:top w:val="nil"/>
              <w:left w:val="nil"/>
              <w:bottom w:val="nil"/>
              <w:right w:val="single" w:sz="8"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43.4</w:t>
            </w:r>
          </w:p>
        </w:tc>
        <w:tc>
          <w:tcPr>
            <w:tcW w:w="1417" w:type="dxa"/>
            <w:tcBorders>
              <w:top w:val="nil"/>
              <w:left w:val="nil"/>
              <w:bottom w:val="nil"/>
              <w:right w:val="single" w:sz="8"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$2,900,000</w:t>
            </w:r>
          </w:p>
        </w:tc>
        <w:tc>
          <w:tcPr>
            <w:tcW w:w="709" w:type="dxa"/>
            <w:tcBorders>
              <w:top w:val="nil"/>
              <w:left w:val="nil"/>
              <w:bottom w:val="nil"/>
              <w:right w:val="single" w:sz="8"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40</w:t>
            </w:r>
          </w:p>
        </w:tc>
        <w:tc>
          <w:tcPr>
            <w:tcW w:w="1417" w:type="dxa"/>
            <w:tcBorders>
              <w:top w:val="nil"/>
              <w:left w:val="nil"/>
              <w:bottom w:val="nil"/>
              <w:right w:val="single" w:sz="8" w:space="0" w:color="auto"/>
            </w:tcBorders>
            <w:shd w:val="clear" w:color="auto" w:fill="auto"/>
            <w:noWrap/>
            <w:vAlign w:val="bottom"/>
            <w:hideMark/>
          </w:tcPr>
          <w:p w:rsidR="00D02973" w:rsidRPr="00EA2F26" w:rsidRDefault="00D02973" w:rsidP="00DF2FAC">
            <w:pPr>
              <w:spacing w:after="0"/>
              <w:jc w:val="center"/>
              <w:rPr>
                <w:sz w:val="20"/>
                <w:szCs w:val="20"/>
                <w:lang w:eastAsia="en-AU"/>
              </w:rPr>
            </w:pPr>
            <w:r w:rsidRPr="00EA2F26">
              <w:rPr>
                <w:sz w:val="20"/>
                <w:szCs w:val="20"/>
                <w:lang w:eastAsia="en-AU"/>
              </w:rPr>
              <w:t>$72,500</w:t>
            </w:r>
          </w:p>
        </w:tc>
      </w:tr>
      <w:tr w:rsidR="00D02973" w:rsidRPr="00EA2F26" w:rsidTr="00DF2FAC">
        <w:trPr>
          <w:trHeight w:val="288"/>
        </w:trPr>
        <w:tc>
          <w:tcPr>
            <w:tcW w:w="2972" w:type="dxa"/>
            <w:tcBorders>
              <w:top w:val="nil"/>
              <w:left w:val="single" w:sz="4" w:space="0" w:color="auto"/>
              <w:bottom w:val="nil"/>
              <w:right w:val="single" w:sz="4" w:space="0" w:color="auto"/>
            </w:tcBorders>
            <w:shd w:val="clear" w:color="auto" w:fill="auto"/>
            <w:vAlign w:val="center"/>
            <w:hideMark/>
          </w:tcPr>
          <w:p w:rsidR="00D02973" w:rsidRPr="00EA2F26" w:rsidRDefault="00D02973" w:rsidP="00DF2FAC">
            <w:pPr>
              <w:spacing w:after="0"/>
              <w:rPr>
                <w:sz w:val="20"/>
                <w:szCs w:val="20"/>
                <w:lang w:eastAsia="en-AU"/>
              </w:rPr>
            </w:pPr>
            <w:r w:rsidRPr="00EA2F26">
              <w:rPr>
                <w:sz w:val="20"/>
                <w:szCs w:val="20"/>
                <w:lang w:eastAsia="en-AU"/>
              </w:rPr>
              <w:t>Goals (Football/Soccer)</w:t>
            </w:r>
          </w:p>
        </w:tc>
        <w:tc>
          <w:tcPr>
            <w:tcW w:w="851" w:type="dxa"/>
            <w:tcBorders>
              <w:top w:val="nil"/>
              <w:left w:val="single" w:sz="4" w:space="0" w:color="auto"/>
              <w:bottom w:val="nil"/>
              <w:right w:val="single" w:sz="8"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52</w:t>
            </w:r>
          </w:p>
        </w:tc>
        <w:tc>
          <w:tcPr>
            <w:tcW w:w="1134" w:type="dxa"/>
            <w:tcBorders>
              <w:top w:val="nil"/>
              <w:left w:val="nil"/>
              <w:bottom w:val="nil"/>
              <w:right w:val="single" w:sz="8" w:space="0" w:color="auto"/>
            </w:tcBorders>
            <w:shd w:val="clear" w:color="auto" w:fill="auto"/>
            <w:vAlign w:val="center"/>
            <w:hideMark/>
          </w:tcPr>
          <w:p w:rsidR="00D02973" w:rsidRPr="00EA2F26" w:rsidRDefault="00D02973" w:rsidP="00DF2FAC">
            <w:pPr>
              <w:spacing w:after="0"/>
              <w:jc w:val="center"/>
              <w:rPr>
                <w:sz w:val="20"/>
                <w:szCs w:val="20"/>
                <w:lang w:eastAsia="en-AU"/>
              </w:rPr>
            </w:pPr>
          </w:p>
        </w:tc>
        <w:tc>
          <w:tcPr>
            <w:tcW w:w="1417" w:type="dxa"/>
            <w:tcBorders>
              <w:top w:val="nil"/>
              <w:left w:val="nil"/>
              <w:bottom w:val="nil"/>
              <w:right w:val="single" w:sz="8"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$371,000</w:t>
            </w:r>
          </w:p>
        </w:tc>
        <w:tc>
          <w:tcPr>
            <w:tcW w:w="709" w:type="dxa"/>
            <w:tcBorders>
              <w:top w:val="nil"/>
              <w:left w:val="nil"/>
              <w:bottom w:val="nil"/>
              <w:right w:val="single" w:sz="8"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15</w:t>
            </w:r>
          </w:p>
        </w:tc>
        <w:tc>
          <w:tcPr>
            <w:tcW w:w="1417" w:type="dxa"/>
            <w:tcBorders>
              <w:top w:val="nil"/>
              <w:left w:val="nil"/>
              <w:bottom w:val="nil"/>
              <w:right w:val="single" w:sz="8" w:space="0" w:color="auto"/>
            </w:tcBorders>
            <w:shd w:val="clear" w:color="auto" w:fill="auto"/>
            <w:noWrap/>
            <w:vAlign w:val="bottom"/>
            <w:hideMark/>
          </w:tcPr>
          <w:p w:rsidR="00D02973" w:rsidRPr="00EA2F26" w:rsidRDefault="00D02973" w:rsidP="00DF2FAC">
            <w:pPr>
              <w:spacing w:after="0"/>
              <w:jc w:val="center"/>
              <w:rPr>
                <w:sz w:val="20"/>
                <w:szCs w:val="20"/>
                <w:lang w:eastAsia="en-AU"/>
              </w:rPr>
            </w:pPr>
            <w:r w:rsidRPr="00EA2F26">
              <w:rPr>
                <w:sz w:val="20"/>
                <w:szCs w:val="20"/>
                <w:lang w:eastAsia="en-AU"/>
              </w:rPr>
              <w:t>$24,733</w:t>
            </w:r>
          </w:p>
        </w:tc>
      </w:tr>
      <w:tr w:rsidR="00D02973" w:rsidRPr="00EA2F26" w:rsidTr="00DF2FAC">
        <w:trPr>
          <w:trHeight w:val="288"/>
        </w:trPr>
        <w:tc>
          <w:tcPr>
            <w:tcW w:w="2972" w:type="dxa"/>
            <w:tcBorders>
              <w:top w:val="nil"/>
              <w:left w:val="single" w:sz="4" w:space="0" w:color="auto"/>
              <w:bottom w:val="nil"/>
              <w:right w:val="single" w:sz="4" w:space="0" w:color="auto"/>
            </w:tcBorders>
            <w:shd w:val="clear" w:color="auto" w:fill="auto"/>
            <w:vAlign w:val="center"/>
            <w:hideMark/>
          </w:tcPr>
          <w:p w:rsidR="00D02973" w:rsidRPr="00EA2F26" w:rsidRDefault="00D02973" w:rsidP="00DF2FAC">
            <w:pPr>
              <w:spacing w:after="0"/>
              <w:rPr>
                <w:sz w:val="20"/>
                <w:szCs w:val="20"/>
                <w:lang w:eastAsia="en-AU"/>
              </w:rPr>
            </w:pPr>
            <w:r w:rsidRPr="00EA2F26">
              <w:rPr>
                <w:sz w:val="20"/>
                <w:szCs w:val="20"/>
                <w:lang w:eastAsia="en-AU"/>
              </w:rPr>
              <w:t>Cricket Pitches - Concrete/Synthetic</w:t>
            </w:r>
          </w:p>
        </w:tc>
        <w:tc>
          <w:tcPr>
            <w:tcW w:w="851" w:type="dxa"/>
            <w:tcBorders>
              <w:top w:val="nil"/>
              <w:left w:val="single" w:sz="4" w:space="0" w:color="auto"/>
              <w:bottom w:val="nil"/>
              <w:right w:val="single" w:sz="8"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29</w:t>
            </w:r>
          </w:p>
        </w:tc>
        <w:tc>
          <w:tcPr>
            <w:tcW w:w="1134" w:type="dxa"/>
            <w:tcBorders>
              <w:top w:val="nil"/>
              <w:left w:val="nil"/>
              <w:bottom w:val="nil"/>
              <w:right w:val="single" w:sz="8" w:space="0" w:color="auto"/>
            </w:tcBorders>
            <w:shd w:val="clear" w:color="auto" w:fill="auto"/>
            <w:vAlign w:val="center"/>
            <w:hideMark/>
          </w:tcPr>
          <w:p w:rsidR="00D02973" w:rsidRPr="00EA2F26" w:rsidRDefault="00D02973" w:rsidP="00DF2FAC">
            <w:pPr>
              <w:spacing w:after="0"/>
              <w:jc w:val="center"/>
              <w:rPr>
                <w:sz w:val="20"/>
                <w:szCs w:val="20"/>
                <w:lang w:eastAsia="en-AU"/>
              </w:rPr>
            </w:pPr>
          </w:p>
        </w:tc>
        <w:tc>
          <w:tcPr>
            <w:tcW w:w="1417" w:type="dxa"/>
            <w:tcBorders>
              <w:top w:val="nil"/>
              <w:left w:val="nil"/>
              <w:bottom w:val="nil"/>
              <w:right w:val="single" w:sz="8"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$290,000</w:t>
            </w:r>
          </w:p>
        </w:tc>
        <w:tc>
          <w:tcPr>
            <w:tcW w:w="709" w:type="dxa"/>
            <w:tcBorders>
              <w:top w:val="nil"/>
              <w:left w:val="nil"/>
              <w:bottom w:val="nil"/>
              <w:right w:val="single" w:sz="8"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25</w:t>
            </w:r>
          </w:p>
        </w:tc>
        <w:tc>
          <w:tcPr>
            <w:tcW w:w="1417" w:type="dxa"/>
            <w:tcBorders>
              <w:top w:val="nil"/>
              <w:left w:val="nil"/>
              <w:bottom w:val="nil"/>
              <w:right w:val="single" w:sz="8" w:space="0" w:color="auto"/>
            </w:tcBorders>
            <w:shd w:val="clear" w:color="auto" w:fill="auto"/>
            <w:noWrap/>
            <w:vAlign w:val="bottom"/>
            <w:hideMark/>
          </w:tcPr>
          <w:p w:rsidR="00D02973" w:rsidRPr="00EA2F26" w:rsidRDefault="00D02973" w:rsidP="00DF2FAC">
            <w:pPr>
              <w:spacing w:after="0"/>
              <w:jc w:val="center"/>
              <w:rPr>
                <w:sz w:val="20"/>
                <w:szCs w:val="20"/>
                <w:lang w:eastAsia="en-AU"/>
              </w:rPr>
            </w:pPr>
            <w:r w:rsidRPr="00EA2F26">
              <w:rPr>
                <w:sz w:val="20"/>
                <w:szCs w:val="20"/>
                <w:lang w:eastAsia="en-AU"/>
              </w:rPr>
              <w:t>$11,600</w:t>
            </w:r>
          </w:p>
        </w:tc>
      </w:tr>
      <w:tr w:rsidR="00D02973" w:rsidRPr="00EA2F26" w:rsidTr="00DF2FAC">
        <w:trPr>
          <w:trHeight w:val="288"/>
        </w:trPr>
        <w:tc>
          <w:tcPr>
            <w:tcW w:w="2972" w:type="dxa"/>
            <w:tcBorders>
              <w:top w:val="nil"/>
              <w:left w:val="single" w:sz="4" w:space="0" w:color="auto"/>
              <w:bottom w:val="nil"/>
              <w:right w:val="single" w:sz="4" w:space="0" w:color="auto"/>
            </w:tcBorders>
            <w:shd w:val="clear" w:color="auto" w:fill="auto"/>
            <w:vAlign w:val="center"/>
            <w:hideMark/>
          </w:tcPr>
          <w:p w:rsidR="00D02973" w:rsidRPr="00EA2F26" w:rsidRDefault="00D02973" w:rsidP="00DF2FAC">
            <w:pPr>
              <w:spacing w:after="0"/>
              <w:rPr>
                <w:sz w:val="20"/>
                <w:szCs w:val="20"/>
                <w:lang w:eastAsia="en-AU"/>
              </w:rPr>
            </w:pPr>
            <w:r w:rsidRPr="00EA2F26">
              <w:rPr>
                <w:sz w:val="20"/>
                <w:szCs w:val="20"/>
                <w:lang w:eastAsia="en-AU"/>
              </w:rPr>
              <w:t>Cricket Practice Nets</w:t>
            </w:r>
          </w:p>
        </w:tc>
        <w:tc>
          <w:tcPr>
            <w:tcW w:w="851" w:type="dxa"/>
            <w:tcBorders>
              <w:top w:val="nil"/>
              <w:left w:val="single" w:sz="4" w:space="0" w:color="auto"/>
              <w:bottom w:val="nil"/>
              <w:right w:val="single" w:sz="8"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56</w:t>
            </w:r>
          </w:p>
        </w:tc>
        <w:tc>
          <w:tcPr>
            <w:tcW w:w="1134" w:type="dxa"/>
            <w:tcBorders>
              <w:top w:val="nil"/>
              <w:left w:val="nil"/>
              <w:bottom w:val="nil"/>
              <w:right w:val="single" w:sz="8" w:space="0" w:color="auto"/>
            </w:tcBorders>
            <w:shd w:val="clear" w:color="auto" w:fill="auto"/>
            <w:vAlign w:val="center"/>
            <w:hideMark/>
          </w:tcPr>
          <w:p w:rsidR="00D02973" w:rsidRPr="00EA2F26" w:rsidRDefault="00D02973" w:rsidP="00DF2FAC">
            <w:pPr>
              <w:spacing w:after="0"/>
              <w:jc w:val="center"/>
              <w:rPr>
                <w:sz w:val="20"/>
                <w:szCs w:val="20"/>
                <w:lang w:eastAsia="en-AU"/>
              </w:rPr>
            </w:pPr>
          </w:p>
        </w:tc>
        <w:tc>
          <w:tcPr>
            <w:tcW w:w="1417" w:type="dxa"/>
            <w:tcBorders>
              <w:top w:val="nil"/>
              <w:left w:val="nil"/>
              <w:bottom w:val="nil"/>
              <w:right w:val="single" w:sz="8"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$1,960,000</w:t>
            </w:r>
          </w:p>
        </w:tc>
        <w:tc>
          <w:tcPr>
            <w:tcW w:w="709" w:type="dxa"/>
            <w:tcBorders>
              <w:top w:val="nil"/>
              <w:left w:val="nil"/>
              <w:bottom w:val="nil"/>
              <w:right w:val="single" w:sz="8"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20</w:t>
            </w:r>
          </w:p>
        </w:tc>
        <w:tc>
          <w:tcPr>
            <w:tcW w:w="1417" w:type="dxa"/>
            <w:tcBorders>
              <w:top w:val="nil"/>
              <w:left w:val="nil"/>
              <w:bottom w:val="nil"/>
              <w:right w:val="single" w:sz="8" w:space="0" w:color="auto"/>
            </w:tcBorders>
            <w:shd w:val="clear" w:color="auto" w:fill="auto"/>
            <w:noWrap/>
            <w:vAlign w:val="bottom"/>
            <w:hideMark/>
          </w:tcPr>
          <w:p w:rsidR="00D02973" w:rsidRPr="00EA2F26" w:rsidRDefault="00D02973" w:rsidP="00DF2FAC">
            <w:pPr>
              <w:spacing w:after="0"/>
              <w:jc w:val="center"/>
              <w:rPr>
                <w:sz w:val="20"/>
                <w:szCs w:val="20"/>
                <w:lang w:eastAsia="en-AU"/>
              </w:rPr>
            </w:pPr>
            <w:r w:rsidRPr="00EA2F26">
              <w:rPr>
                <w:sz w:val="20"/>
                <w:szCs w:val="20"/>
                <w:lang w:eastAsia="en-AU"/>
              </w:rPr>
              <w:t>$98,000</w:t>
            </w:r>
          </w:p>
        </w:tc>
      </w:tr>
      <w:tr w:rsidR="00D02973" w:rsidRPr="00EA2F26" w:rsidTr="00DF2FAC">
        <w:trPr>
          <w:trHeight w:val="288"/>
        </w:trPr>
        <w:tc>
          <w:tcPr>
            <w:tcW w:w="2972" w:type="dxa"/>
            <w:tcBorders>
              <w:top w:val="nil"/>
              <w:left w:val="single" w:sz="4" w:space="0" w:color="auto"/>
              <w:bottom w:val="nil"/>
              <w:right w:val="single" w:sz="4" w:space="0" w:color="auto"/>
            </w:tcBorders>
            <w:shd w:val="clear" w:color="auto" w:fill="auto"/>
            <w:vAlign w:val="center"/>
            <w:hideMark/>
          </w:tcPr>
          <w:p w:rsidR="00D02973" w:rsidRPr="00EA2F26" w:rsidRDefault="00D02973" w:rsidP="00DF2FAC">
            <w:pPr>
              <w:spacing w:after="0"/>
              <w:rPr>
                <w:sz w:val="20"/>
                <w:szCs w:val="20"/>
                <w:lang w:eastAsia="en-AU"/>
              </w:rPr>
            </w:pPr>
            <w:r w:rsidRPr="00EA2F26">
              <w:rPr>
                <w:sz w:val="20"/>
                <w:szCs w:val="20"/>
                <w:lang w:eastAsia="en-AU"/>
              </w:rPr>
              <w:t>Sportsground Floodlights</w:t>
            </w:r>
          </w:p>
        </w:tc>
        <w:tc>
          <w:tcPr>
            <w:tcW w:w="851" w:type="dxa"/>
            <w:tcBorders>
              <w:top w:val="nil"/>
              <w:left w:val="single" w:sz="4" w:space="0" w:color="auto"/>
              <w:bottom w:val="nil"/>
              <w:right w:val="single" w:sz="8"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91</w:t>
            </w:r>
          </w:p>
        </w:tc>
        <w:tc>
          <w:tcPr>
            <w:tcW w:w="1134" w:type="dxa"/>
            <w:tcBorders>
              <w:top w:val="nil"/>
              <w:left w:val="nil"/>
              <w:bottom w:val="nil"/>
              <w:right w:val="single" w:sz="8" w:space="0" w:color="auto"/>
            </w:tcBorders>
            <w:shd w:val="clear" w:color="auto" w:fill="auto"/>
            <w:vAlign w:val="center"/>
            <w:hideMark/>
          </w:tcPr>
          <w:p w:rsidR="00D02973" w:rsidRPr="00EA2F26" w:rsidRDefault="00D02973" w:rsidP="00DF2FAC">
            <w:pPr>
              <w:spacing w:after="0"/>
              <w:jc w:val="center"/>
              <w:rPr>
                <w:sz w:val="20"/>
                <w:szCs w:val="20"/>
                <w:lang w:eastAsia="en-AU"/>
              </w:rPr>
            </w:pPr>
          </w:p>
        </w:tc>
        <w:tc>
          <w:tcPr>
            <w:tcW w:w="1417" w:type="dxa"/>
            <w:tcBorders>
              <w:top w:val="nil"/>
              <w:left w:val="nil"/>
              <w:bottom w:val="nil"/>
              <w:right w:val="single" w:sz="8"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$910,000</w:t>
            </w:r>
          </w:p>
        </w:tc>
        <w:tc>
          <w:tcPr>
            <w:tcW w:w="709" w:type="dxa"/>
            <w:tcBorders>
              <w:top w:val="nil"/>
              <w:left w:val="nil"/>
              <w:bottom w:val="nil"/>
              <w:right w:val="single" w:sz="8"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30</w:t>
            </w:r>
          </w:p>
        </w:tc>
        <w:tc>
          <w:tcPr>
            <w:tcW w:w="1417" w:type="dxa"/>
            <w:tcBorders>
              <w:top w:val="nil"/>
              <w:left w:val="nil"/>
              <w:bottom w:val="nil"/>
              <w:right w:val="single" w:sz="8" w:space="0" w:color="auto"/>
            </w:tcBorders>
            <w:shd w:val="clear" w:color="auto" w:fill="auto"/>
            <w:noWrap/>
            <w:vAlign w:val="bottom"/>
            <w:hideMark/>
          </w:tcPr>
          <w:p w:rsidR="00D02973" w:rsidRPr="00EA2F26" w:rsidRDefault="00D02973" w:rsidP="00DF2FAC">
            <w:pPr>
              <w:spacing w:after="0"/>
              <w:jc w:val="center"/>
              <w:rPr>
                <w:sz w:val="20"/>
                <w:szCs w:val="20"/>
                <w:lang w:eastAsia="en-AU"/>
              </w:rPr>
            </w:pPr>
            <w:r w:rsidRPr="00EA2F26">
              <w:rPr>
                <w:sz w:val="20"/>
                <w:szCs w:val="20"/>
                <w:lang w:eastAsia="en-AU"/>
              </w:rPr>
              <w:t>$30,333</w:t>
            </w:r>
          </w:p>
        </w:tc>
      </w:tr>
      <w:tr w:rsidR="00D02973" w:rsidRPr="00EA2F26" w:rsidTr="00DF2FAC">
        <w:trPr>
          <w:trHeight w:val="221"/>
        </w:trPr>
        <w:tc>
          <w:tcPr>
            <w:tcW w:w="2972" w:type="dxa"/>
            <w:tcBorders>
              <w:top w:val="nil"/>
              <w:left w:val="single" w:sz="4" w:space="0" w:color="auto"/>
              <w:bottom w:val="nil"/>
              <w:right w:val="single" w:sz="4" w:space="0" w:color="auto"/>
            </w:tcBorders>
            <w:shd w:val="clear" w:color="auto" w:fill="auto"/>
            <w:vAlign w:val="center"/>
            <w:hideMark/>
          </w:tcPr>
          <w:p w:rsidR="00D02973" w:rsidRDefault="00D02973" w:rsidP="00DF2FAC">
            <w:pPr>
              <w:spacing w:after="0"/>
              <w:rPr>
                <w:sz w:val="20"/>
                <w:szCs w:val="20"/>
                <w:lang w:eastAsia="en-AU"/>
              </w:rPr>
            </w:pPr>
            <w:r>
              <w:rPr>
                <w:sz w:val="20"/>
                <w:szCs w:val="20"/>
                <w:lang w:eastAsia="en-AU"/>
              </w:rPr>
              <w:t xml:space="preserve">Tennis/Netball/Bowling </w:t>
            </w:r>
          </w:p>
          <w:p w:rsidR="00D02973" w:rsidRPr="00EA2F26" w:rsidRDefault="00D02973" w:rsidP="00DF2FAC">
            <w:pPr>
              <w:spacing w:after="0"/>
              <w:rPr>
                <w:sz w:val="20"/>
                <w:szCs w:val="20"/>
                <w:lang w:eastAsia="en-AU"/>
              </w:rPr>
            </w:pPr>
            <w:r w:rsidRPr="00EA2F26">
              <w:rPr>
                <w:sz w:val="20"/>
                <w:szCs w:val="20"/>
                <w:lang w:eastAsia="en-AU"/>
              </w:rPr>
              <w:t>Courts/Surfaces</w:t>
            </w:r>
          </w:p>
        </w:tc>
        <w:tc>
          <w:tcPr>
            <w:tcW w:w="851" w:type="dxa"/>
            <w:tcBorders>
              <w:top w:val="nil"/>
              <w:left w:val="single" w:sz="4" w:space="0" w:color="auto"/>
              <w:bottom w:val="nil"/>
              <w:right w:val="single" w:sz="8"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9</w:t>
            </w:r>
          </w:p>
        </w:tc>
        <w:tc>
          <w:tcPr>
            <w:tcW w:w="1134" w:type="dxa"/>
            <w:tcBorders>
              <w:top w:val="nil"/>
              <w:left w:val="nil"/>
              <w:bottom w:val="nil"/>
              <w:right w:val="single" w:sz="8" w:space="0" w:color="auto"/>
            </w:tcBorders>
            <w:shd w:val="clear" w:color="auto" w:fill="auto"/>
            <w:vAlign w:val="center"/>
            <w:hideMark/>
          </w:tcPr>
          <w:p w:rsidR="00D02973" w:rsidRPr="00EA2F26" w:rsidRDefault="00D02973" w:rsidP="00DF2FAC">
            <w:pPr>
              <w:spacing w:after="0"/>
              <w:jc w:val="center"/>
              <w:rPr>
                <w:sz w:val="20"/>
                <w:szCs w:val="20"/>
                <w:lang w:eastAsia="en-AU"/>
              </w:rPr>
            </w:pPr>
          </w:p>
        </w:tc>
        <w:tc>
          <w:tcPr>
            <w:tcW w:w="1417" w:type="dxa"/>
            <w:tcBorders>
              <w:top w:val="nil"/>
              <w:left w:val="nil"/>
              <w:bottom w:val="nil"/>
              <w:right w:val="single" w:sz="8"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$3,000,000</w:t>
            </w:r>
          </w:p>
        </w:tc>
        <w:tc>
          <w:tcPr>
            <w:tcW w:w="709" w:type="dxa"/>
            <w:tcBorders>
              <w:top w:val="nil"/>
              <w:left w:val="nil"/>
              <w:bottom w:val="nil"/>
              <w:right w:val="single" w:sz="8"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50</w:t>
            </w:r>
          </w:p>
        </w:tc>
        <w:tc>
          <w:tcPr>
            <w:tcW w:w="1417" w:type="dxa"/>
            <w:tcBorders>
              <w:top w:val="nil"/>
              <w:left w:val="nil"/>
              <w:bottom w:val="nil"/>
              <w:right w:val="single" w:sz="8" w:space="0" w:color="auto"/>
            </w:tcBorders>
            <w:shd w:val="clear" w:color="auto" w:fill="auto"/>
            <w:noWrap/>
            <w:vAlign w:val="bottom"/>
            <w:hideMark/>
          </w:tcPr>
          <w:p w:rsidR="00D02973" w:rsidRPr="00EA2F26" w:rsidRDefault="00D02973" w:rsidP="00DF2FAC">
            <w:pPr>
              <w:spacing w:after="0"/>
              <w:jc w:val="center"/>
              <w:rPr>
                <w:sz w:val="20"/>
                <w:szCs w:val="20"/>
                <w:lang w:eastAsia="en-AU"/>
              </w:rPr>
            </w:pPr>
            <w:r w:rsidRPr="00EA2F26">
              <w:rPr>
                <w:sz w:val="20"/>
                <w:szCs w:val="20"/>
                <w:lang w:eastAsia="en-AU"/>
              </w:rPr>
              <w:t>$60,000</w:t>
            </w:r>
          </w:p>
        </w:tc>
      </w:tr>
      <w:tr w:rsidR="00D02973" w:rsidRPr="00EA2F26" w:rsidTr="00DF2FAC">
        <w:trPr>
          <w:trHeight w:val="300"/>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D02973" w:rsidRPr="00EA2F26" w:rsidRDefault="00D02973" w:rsidP="00DF2FAC">
            <w:pPr>
              <w:spacing w:after="0"/>
              <w:rPr>
                <w:sz w:val="20"/>
                <w:szCs w:val="20"/>
                <w:lang w:eastAsia="en-AU"/>
              </w:rPr>
            </w:pPr>
            <w:r w:rsidRPr="00EA2F26">
              <w:rPr>
                <w:sz w:val="20"/>
                <w:szCs w:val="20"/>
                <w:lang w:eastAsia="en-AU"/>
              </w:rPr>
              <w:t>Golf Courses</w:t>
            </w:r>
          </w:p>
        </w:tc>
        <w:tc>
          <w:tcPr>
            <w:tcW w:w="851" w:type="dxa"/>
            <w:tcBorders>
              <w:top w:val="nil"/>
              <w:left w:val="single" w:sz="4" w:space="0" w:color="auto"/>
              <w:bottom w:val="single" w:sz="4" w:space="0" w:color="auto"/>
              <w:right w:val="single" w:sz="8"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3</w:t>
            </w:r>
          </w:p>
        </w:tc>
        <w:tc>
          <w:tcPr>
            <w:tcW w:w="1134" w:type="dxa"/>
            <w:tcBorders>
              <w:top w:val="nil"/>
              <w:left w:val="nil"/>
              <w:bottom w:val="single" w:sz="4" w:space="0" w:color="auto"/>
              <w:right w:val="single" w:sz="8"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141.43</w:t>
            </w:r>
          </w:p>
        </w:tc>
        <w:tc>
          <w:tcPr>
            <w:tcW w:w="1417" w:type="dxa"/>
            <w:tcBorders>
              <w:top w:val="nil"/>
              <w:left w:val="nil"/>
              <w:bottom w:val="single" w:sz="4" w:space="0" w:color="auto"/>
              <w:right w:val="single" w:sz="8"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N/A</w:t>
            </w:r>
          </w:p>
        </w:tc>
        <w:tc>
          <w:tcPr>
            <w:tcW w:w="709" w:type="dxa"/>
            <w:tcBorders>
              <w:top w:val="nil"/>
              <w:left w:val="nil"/>
              <w:bottom w:val="single" w:sz="4" w:space="0" w:color="auto"/>
              <w:right w:val="single" w:sz="8"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50</w:t>
            </w:r>
          </w:p>
        </w:tc>
        <w:tc>
          <w:tcPr>
            <w:tcW w:w="1417" w:type="dxa"/>
            <w:tcBorders>
              <w:top w:val="nil"/>
              <w:left w:val="nil"/>
              <w:bottom w:val="single" w:sz="4" w:space="0" w:color="auto"/>
              <w:right w:val="single" w:sz="8" w:space="0" w:color="auto"/>
            </w:tcBorders>
            <w:shd w:val="clear" w:color="auto" w:fill="auto"/>
            <w:noWrap/>
            <w:vAlign w:val="bottom"/>
            <w:hideMark/>
          </w:tcPr>
          <w:p w:rsidR="00D02973" w:rsidRPr="00EA2F26" w:rsidRDefault="00D02973" w:rsidP="00DF2FAC">
            <w:pPr>
              <w:spacing w:after="0"/>
              <w:jc w:val="center"/>
              <w:rPr>
                <w:sz w:val="20"/>
                <w:szCs w:val="20"/>
                <w:lang w:eastAsia="en-AU"/>
              </w:rPr>
            </w:pPr>
          </w:p>
        </w:tc>
      </w:tr>
      <w:tr w:rsidR="00D02973" w:rsidRPr="00EA2F26" w:rsidTr="00DF2FAC">
        <w:trPr>
          <w:trHeight w:val="300"/>
        </w:trPr>
        <w:tc>
          <w:tcPr>
            <w:tcW w:w="2972" w:type="dxa"/>
            <w:tcBorders>
              <w:top w:val="single" w:sz="4" w:space="0" w:color="auto"/>
              <w:left w:val="single" w:sz="4" w:space="0" w:color="auto"/>
              <w:right w:val="single" w:sz="4" w:space="0" w:color="auto"/>
            </w:tcBorders>
            <w:shd w:val="clear" w:color="auto" w:fill="auto"/>
            <w:vAlign w:val="center"/>
            <w:hideMark/>
          </w:tcPr>
          <w:p w:rsidR="00D02973" w:rsidRPr="00EA2F26" w:rsidRDefault="00D02973" w:rsidP="00DF2FAC">
            <w:pPr>
              <w:spacing w:after="0"/>
              <w:rPr>
                <w:sz w:val="20"/>
                <w:szCs w:val="20"/>
                <w:lang w:eastAsia="en-AU"/>
              </w:rPr>
            </w:pPr>
            <w:r w:rsidRPr="00EA2F26">
              <w:rPr>
                <w:sz w:val="20"/>
                <w:szCs w:val="20"/>
                <w:lang w:eastAsia="en-AU"/>
              </w:rPr>
              <w:t>BBQs</w:t>
            </w:r>
          </w:p>
        </w:tc>
        <w:tc>
          <w:tcPr>
            <w:tcW w:w="851" w:type="dxa"/>
            <w:tcBorders>
              <w:top w:val="single" w:sz="4" w:space="0" w:color="auto"/>
              <w:left w:val="single" w:sz="4" w:space="0" w:color="auto"/>
              <w:right w:val="single" w:sz="4"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30</w:t>
            </w:r>
          </w:p>
        </w:tc>
        <w:tc>
          <w:tcPr>
            <w:tcW w:w="1134" w:type="dxa"/>
            <w:tcBorders>
              <w:top w:val="single" w:sz="4" w:space="0" w:color="auto"/>
              <w:left w:val="single" w:sz="4" w:space="0" w:color="auto"/>
              <w:right w:val="single" w:sz="4" w:space="0" w:color="auto"/>
            </w:tcBorders>
            <w:shd w:val="clear" w:color="auto" w:fill="auto"/>
            <w:vAlign w:val="center"/>
            <w:hideMark/>
          </w:tcPr>
          <w:p w:rsidR="00D02973" w:rsidRPr="00EA2F26" w:rsidRDefault="00D02973" w:rsidP="00DF2FAC">
            <w:pPr>
              <w:spacing w:after="0"/>
              <w:jc w:val="center"/>
              <w:rPr>
                <w:sz w:val="20"/>
                <w:szCs w:val="20"/>
                <w:lang w:eastAsia="en-AU"/>
              </w:rPr>
            </w:pPr>
          </w:p>
        </w:tc>
        <w:tc>
          <w:tcPr>
            <w:tcW w:w="1417" w:type="dxa"/>
            <w:tcBorders>
              <w:top w:val="single" w:sz="4" w:space="0" w:color="auto"/>
              <w:left w:val="single" w:sz="4" w:space="0" w:color="auto"/>
              <w:right w:val="single" w:sz="4"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$240,000</w:t>
            </w:r>
          </w:p>
        </w:tc>
        <w:tc>
          <w:tcPr>
            <w:tcW w:w="709" w:type="dxa"/>
            <w:tcBorders>
              <w:top w:val="single" w:sz="4" w:space="0" w:color="auto"/>
              <w:left w:val="single" w:sz="4" w:space="0" w:color="auto"/>
              <w:right w:val="single" w:sz="4"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10</w:t>
            </w:r>
          </w:p>
        </w:tc>
        <w:tc>
          <w:tcPr>
            <w:tcW w:w="1417" w:type="dxa"/>
            <w:tcBorders>
              <w:top w:val="single" w:sz="4" w:space="0" w:color="auto"/>
              <w:left w:val="single" w:sz="4" w:space="0" w:color="auto"/>
              <w:right w:val="single" w:sz="4" w:space="0" w:color="auto"/>
            </w:tcBorders>
            <w:shd w:val="clear" w:color="auto" w:fill="auto"/>
            <w:noWrap/>
            <w:vAlign w:val="bottom"/>
            <w:hideMark/>
          </w:tcPr>
          <w:p w:rsidR="00D02973" w:rsidRPr="00EA2F26" w:rsidRDefault="00D02973" w:rsidP="00DF2FAC">
            <w:pPr>
              <w:spacing w:after="0"/>
              <w:jc w:val="center"/>
              <w:rPr>
                <w:sz w:val="20"/>
                <w:szCs w:val="20"/>
                <w:lang w:eastAsia="en-AU"/>
              </w:rPr>
            </w:pPr>
            <w:r w:rsidRPr="00EA2F26">
              <w:rPr>
                <w:sz w:val="20"/>
                <w:szCs w:val="20"/>
                <w:lang w:eastAsia="en-AU"/>
              </w:rPr>
              <w:t>$24,000</w:t>
            </w:r>
          </w:p>
        </w:tc>
      </w:tr>
      <w:tr w:rsidR="00D02973" w:rsidRPr="00EA2F26" w:rsidTr="00DF2FAC">
        <w:trPr>
          <w:trHeight w:val="300"/>
        </w:trPr>
        <w:tc>
          <w:tcPr>
            <w:tcW w:w="2972"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rPr>
                <w:sz w:val="20"/>
                <w:szCs w:val="20"/>
                <w:lang w:eastAsia="en-AU"/>
              </w:rPr>
            </w:pPr>
            <w:r w:rsidRPr="00EA2F26">
              <w:rPr>
                <w:sz w:val="20"/>
                <w:szCs w:val="20"/>
                <w:lang w:eastAsia="en-AU"/>
              </w:rPr>
              <w:t>Bins</w:t>
            </w:r>
          </w:p>
        </w:tc>
        <w:tc>
          <w:tcPr>
            <w:tcW w:w="851"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413</w:t>
            </w:r>
          </w:p>
        </w:tc>
        <w:tc>
          <w:tcPr>
            <w:tcW w:w="1134"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jc w:val="center"/>
              <w:rPr>
                <w:sz w:val="20"/>
                <w:szCs w:val="20"/>
                <w:lang w:eastAsia="en-AU"/>
              </w:rPr>
            </w:pPr>
          </w:p>
        </w:tc>
        <w:tc>
          <w:tcPr>
            <w:tcW w:w="1417"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$330,400</w:t>
            </w:r>
          </w:p>
        </w:tc>
        <w:tc>
          <w:tcPr>
            <w:tcW w:w="709"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10</w:t>
            </w:r>
          </w:p>
        </w:tc>
        <w:tc>
          <w:tcPr>
            <w:tcW w:w="1417" w:type="dxa"/>
            <w:tcBorders>
              <w:top w:val="nil"/>
              <w:left w:val="single" w:sz="4" w:space="0" w:color="auto"/>
              <w:right w:val="single" w:sz="4" w:space="0" w:color="auto"/>
            </w:tcBorders>
            <w:shd w:val="clear" w:color="auto" w:fill="auto"/>
            <w:noWrap/>
            <w:vAlign w:val="bottom"/>
            <w:hideMark/>
          </w:tcPr>
          <w:p w:rsidR="00D02973" w:rsidRPr="00EA2F26" w:rsidRDefault="00D02973" w:rsidP="00DF2FAC">
            <w:pPr>
              <w:spacing w:after="0"/>
              <w:jc w:val="center"/>
              <w:rPr>
                <w:sz w:val="20"/>
                <w:szCs w:val="20"/>
                <w:lang w:eastAsia="en-AU"/>
              </w:rPr>
            </w:pPr>
            <w:r w:rsidRPr="00EA2F26">
              <w:rPr>
                <w:sz w:val="20"/>
                <w:szCs w:val="20"/>
                <w:lang w:eastAsia="en-AU"/>
              </w:rPr>
              <w:t>$33,040</w:t>
            </w:r>
          </w:p>
        </w:tc>
      </w:tr>
      <w:tr w:rsidR="00D02973" w:rsidRPr="00EA2F26" w:rsidTr="00DF2FAC">
        <w:trPr>
          <w:trHeight w:val="300"/>
        </w:trPr>
        <w:tc>
          <w:tcPr>
            <w:tcW w:w="2972"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rPr>
                <w:sz w:val="20"/>
                <w:szCs w:val="20"/>
                <w:lang w:eastAsia="en-AU"/>
              </w:rPr>
            </w:pPr>
            <w:r w:rsidRPr="00EA2F26">
              <w:rPr>
                <w:sz w:val="20"/>
                <w:szCs w:val="20"/>
                <w:lang w:eastAsia="en-AU"/>
              </w:rPr>
              <w:t>Bollards</w:t>
            </w:r>
          </w:p>
        </w:tc>
        <w:tc>
          <w:tcPr>
            <w:tcW w:w="851"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6011</w:t>
            </w:r>
          </w:p>
        </w:tc>
        <w:tc>
          <w:tcPr>
            <w:tcW w:w="1134"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jc w:val="center"/>
              <w:rPr>
                <w:sz w:val="20"/>
                <w:szCs w:val="20"/>
                <w:lang w:eastAsia="en-AU"/>
              </w:rPr>
            </w:pPr>
          </w:p>
        </w:tc>
        <w:tc>
          <w:tcPr>
            <w:tcW w:w="1417"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$751,375</w:t>
            </w:r>
          </w:p>
        </w:tc>
        <w:tc>
          <w:tcPr>
            <w:tcW w:w="709"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10</w:t>
            </w:r>
          </w:p>
        </w:tc>
        <w:tc>
          <w:tcPr>
            <w:tcW w:w="1417" w:type="dxa"/>
            <w:tcBorders>
              <w:top w:val="nil"/>
              <w:left w:val="single" w:sz="4" w:space="0" w:color="auto"/>
              <w:right w:val="single" w:sz="4" w:space="0" w:color="auto"/>
            </w:tcBorders>
            <w:shd w:val="clear" w:color="auto" w:fill="auto"/>
            <w:noWrap/>
            <w:vAlign w:val="bottom"/>
            <w:hideMark/>
          </w:tcPr>
          <w:p w:rsidR="00D02973" w:rsidRPr="00EA2F26" w:rsidRDefault="00D02973" w:rsidP="00DF2FAC">
            <w:pPr>
              <w:spacing w:after="0"/>
              <w:jc w:val="center"/>
              <w:rPr>
                <w:sz w:val="20"/>
                <w:szCs w:val="20"/>
                <w:lang w:eastAsia="en-AU"/>
              </w:rPr>
            </w:pPr>
            <w:r w:rsidRPr="00EA2F26">
              <w:rPr>
                <w:sz w:val="20"/>
                <w:szCs w:val="20"/>
                <w:lang w:eastAsia="en-AU"/>
              </w:rPr>
              <w:t>$75,138</w:t>
            </w:r>
          </w:p>
        </w:tc>
      </w:tr>
      <w:tr w:rsidR="00D02973" w:rsidRPr="00EA2F26" w:rsidTr="00DF2FAC">
        <w:trPr>
          <w:trHeight w:val="300"/>
        </w:trPr>
        <w:tc>
          <w:tcPr>
            <w:tcW w:w="2972"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rPr>
                <w:sz w:val="20"/>
                <w:szCs w:val="20"/>
                <w:lang w:eastAsia="en-AU"/>
              </w:rPr>
            </w:pPr>
            <w:r w:rsidRPr="00EA2F26">
              <w:rPr>
                <w:sz w:val="20"/>
                <w:szCs w:val="20"/>
                <w:lang w:eastAsia="en-AU"/>
              </w:rPr>
              <w:t>Drinking Fountains</w:t>
            </w:r>
          </w:p>
        </w:tc>
        <w:tc>
          <w:tcPr>
            <w:tcW w:w="851"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91</w:t>
            </w:r>
          </w:p>
        </w:tc>
        <w:tc>
          <w:tcPr>
            <w:tcW w:w="1134"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jc w:val="center"/>
              <w:rPr>
                <w:sz w:val="20"/>
                <w:szCs w:val="20"/>
                <w:lang w:eastAsia="en-AU"/>
              </w:rPr>
            </w:pPr>
          </w:p>
        </w:tc>
        <w:tc>
          <w:tcPr>
            <w:tcW w:w="1417"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$227,500</w:t>
            </w:r>
          </w:p>
        </w:tc>
        <w:tc>
          <w:tcPr>
            <w:tcW w:w="709"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15</w:t>
            </w:r>
          </w:p>
        </w:tc>
        <w:tc>
          <w:tcPr>
            <w:tcW w:w="1417" w:type="dxa"/>
            <w:tcBorders>
              <w:top w:val="nil"/>
              <w:left w:val="single" w:sz="4" w:space="0" w:color="auto"/>
              <w:right w:val="single" w:sz="4" w:space="0" w:color="auto"/>
            </w:tcBorders>
            <w:shd w:val="clear" w:color="auto" w:fill="auto"/>
            <w:noWrap/>
            <w:vAlign w:val="bottom"/>
            <w:hideMark/>
          </w:tcPr>
          <w:p w:rsidR="00D02973" w:rsidRPr="00EA2F26" w:rsidRDefault="00D02973" w:rsidP="00DF2FAC">
            <w:pPr>
              <w:spacing w:after="0"/>
              <w:jc w:val="center"/>
              <w:rPr>
                <w:sz w:val="20"/>
                <w:szCs w:val="20"/>
                <w:lang w:eastAsia="en-AU"/>
              </w:rPr>
            </w:pPr>
            <w:r w:rsidRPr="00EA2F26">
              <w:rPr>
                <w:sz w:val="20"/>
                <w:szCs w:val="20"/>
                <w:lang w:eastAsia="en-AU"/>
              </w:rPr>
              <w:t>$15,167</w:t>
            </w:r>
          </w:p>
        </w:tc>
      </w:tr>
      <w:tr w:rsidR="00D02973" w:rsidRPr="00EA2F26" w:rsidTr="00DF2FAC">
        <w:trPr>
          <w:trHeight w:val="300"/>
        </w:trPr>
        <w:tc>
          <w:tcPr>
            <w:tcW w:w="2972"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rPr>
                <w:sz w:val="20"/>
                <w:szCs w:val="20"/>
                <w:lang w:eastAsia="en-AU"/>
              </w:rPr>
            </w:pPr>
            <w:r w:rsidRPr="00EA2F26">
              <w:rPr>
                <w:sz w:val="20"/>
                <w:szCs w:val="20"/>
                <w:lang w:eastAsia="en-AU"/>
              </w:rPr>
              <w:t>Fences (km)</w:t>
            </w:r>
          </w:p>
        </w:tc>
        <w:tc>
          <w:tcPr>
            <w:tcW w:w="851"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550</w:t>
            </w:r>
          </w:p>
        </w:tc>
        <w:tc>
          <w:tcPr>
            <w:tcW w:w="1134"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7.78</w:t>
            </w:r>
          </w:p>
        </w:tc>
        <w:tc>
          <w:tcPr>
            <w:tcW w:w="1417"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$2,696,000</w:t>
            </w:r>
          </w:p>
        </w:tc>
        <w:tc>
          <w:tcPr>
            <w:tcW w:w="709"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15</w:t>
            </w:r>
          </w:p>
        </w:tc>
        <w:tc>
          <w:tcPr>
            <w:tcW w:w="1417" w:type="dxa"/>
            <w:tcBorders>
              <w:top w:val="nil"/>
              <w:left w:val="single" w:sz="4" w:space="0" w:color="auto"/>
              <w:right w:val="single" w:sz="4" w:space="0" w:color="auto"/>
            </w:tcBorders>
            <w:shd w:val="clear" w:color="auto" w:fill="auto"/>
            <w:noWrap/>
            <w:vAlign w:val="bottom"/>
            <w:hideMark/>
          </w:tcPr>
          <w:p w:rsidR="00D02973" w:rsidRPr="00EA2F26" w:rsidRDefault="00D02973" w:rsidP="00DF2FAC">
            <w:pPr>
              <w:spacing w:after="0"/>
              <w:jc w:val="center"/>
              <w:rPr>
                <w:sz w:val="20"/>
                <w:szCs w:val="20"/>
                <w:lang w:eastAsia="en-AU"/>
              </w:rPr>
            </w:pPr>
            <w:r w:rsidRPr="00EA2F26">
              <w:rPr>
                <w:sz w:val="20"/>
                <w:szCs w:val="20"/>
                <w:lang w:eastAsia="en-AU"/>
              </w:rPr>
              <w:t>$179,733</w:t>
            </w:r>
          </w:p>
        </w:tc>
      </w:tr>
      <w:tr w:rsidR="00D02973" w:rsidRPr="00EA2F26" w:rsidTr="00DF2FAC">
        <w:trPr>
          <w:trHeight w:val="300"/>
        </w:trPr>
        <w:tc>
          <w:tcPr>
            <w:tcW w:w="2972"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rPr>
                <w:sz w:val="20"/>
                <w:szCs w:val="20"/>
                <w:lang w:eastAsia="en-AU"/>
              </w:rPr>
            </w:pPr>
            <w:r w:rsidRPr="00EA2F26">
              <w:rPr>
                <w:sz w:val="20"/>
                <w:szCs w:val="20"/>
                <w:lang w:eastAsia="en-AU"/>
              </w:rPr>
              <w:t>Gates</w:t>
            </w:r>
          </w:p>
        </w:tc>
        <w:tc>
          <w:tcPr>
            <w:tcW w:w="851"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336</w:t>
            </w:r>
          </w:p>
        </w:tc>
        <w:tc>
          <w:tcPr>
            <w:tcW w:w="1134"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jc w:val="center"/>
              <w:rPr>
                <w:sz w:val="20"/>
                <w:szCs w:val="20"/>
                <w:lang w:eastAsia="en-AU"/>
              </w:rPr>
            </w:pPr>
          </w:p>
        </w:tc>
        <w:tc>
          <w:tcPr>
            <w:tcW w:w="1417"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$252,000</w:t>
            </w:r>
          </w:p>
        </w:tc>
        <w:tc>
          <w:tcPr>
            <w:tcW w:w="709"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15</w:t>
            </w:r>
          </w:p>
        </w:tc>
        <w:tc>
          <w:tcPr>
            <w:tcW w:w="1417" w:type="dxa"/>
            <w:tcBorders>
              <w:top w:val="nil"/>
              <w:left w:val="single" w:sz="4" w:space="0" w:color="auto"/>
              <w:right w:val="single" w:sz="4" w:space="0" w:color="auto"/>
            </w:tcBorders>
            <w:shd w:val="clear" w:color="auto" w:fill="auto"/>
            <w:noWrap/>
            <w:vAlign w:val="bottom"/>
            <w:hideMark/>
          </w:tcPr>
          <w:p w:rsidR="00D02973" w:rsidRPr="00EA2F26" w:rsidRDefault="00D02973" w:rsidP="00DF2FAC">
            <w:pPr>
              <w:spacing w:after="0"/>
              <w:jc w:val="center"/>
              <w:rPr>
                <w:sz w:val="20"/>
                <w:szCs w:val="20"/>
                <w:lang w:eastAsia="en-AU"/>
              </w:rPr>
            </w:pPr>
            <w:r w:rsidRPr="00EA2F26">
              <w:rPr>
                <w:sz w:val="20"/>
                <w:szCs w:val="20"/>
                <w:lang w:eastAsia="en-AU"/>
              </w:rPr>
              <w:t>$16,800</w:t>
            </w:r>
          </w:p>
        </w:tc>
      </w:tr>
      <w:tr w:rsidR="00D02973" w:rsidRPr="00EA2F26" w:rsidTr="00DF2FAC">
        <w:trPr>
          <w:trHeight w:val="300"/>
        </w:trPr>
        <w:tc>
          <w:tcPr>
            <w:tcW w:w="2972"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rPr>
                <w:sz w:val="20"/>
                <w:szCs w:val="20"/>
                <w:lang w:eastAsia="en-AU"/>
              </w:rPr>
            </w:pPr>
            <w:r w:rsidRPr="00EA2F26">
              <w:rPr>
                <w:sz w:val="20"/>
                <w:szCs w:val="20"/>
                <w:lang w:eastAsia="en-AU"/>
              </w:rPr>
              <w:t>Picnic settings</w:t>
            </w:r>
          </w:p>
        </w:tc>
        <w:tc>
          <w:tcPr>
            <w:tcW w:w="851"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188</w:t>
            </w:r>
          </w:p>
        </w:tc>
        <w:tc>
          <w:tcPr>
            <w:tcW w:w="1134"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jc w:val="center"/>
              <w:rPr>
                <w:sz w:val="20"/>
                <w:szCs w:val="20"/>
                <w:lang w:eastAsia="en-AU"/>
              </w:rPr>
            </w:pPr>
          </w:p>
        </w:tc>
        <w:tc>
          <w:tcPr>
            <w:tcW w:w="1417"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$470,000</w:t>
            </w:r>
          </w:p>
        </w:tc>
        <w:tc>
          <w:tcPr>
            <w:tcW w:w="709"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15</w:t>
            </w:r>
          </w:p>
        </w:tc>
        <w:tc>
          <w:tcPr>
            <w:tcW w:w="1417" w:type="dxa"/>
            <w:tcBorders>
              <w:top w:val="nil"/>
              <w:left w:val="single" w:sz="4" w:space="0" w:color="auto"/>
              <w:right w:val="single" w:sz="4" w:space="0" w:color="auto"/>
            </w:tcBorders>
            <w:shd w:val="clear" w:color="auto" w:fill="auto"/>
            <w:noWrap/>
            <w:vAlign w:val="bottom"/>
            <w:hideMark/>
          </w:tcPr>
          <w:p w:rsidR="00D02973" w:rsidRPr="00EA2F26" w:rsidRDefault="00D02973" w:rsidP="00DF2FAC">
            <w:pPr>
              <w:spacing w:after="0"/>
              <w:jc w:val="center"/>
              <w:rPr>
                <w:sz w:val="20"/>
                <w:szCs w:val="20"/>
                <w:lang w:eastAsia="en-AU"/>
              </w:rPr>
            </w:pPr>
            <w:r w:rsidRPr="00EA2F26">
              <w:rPr>
                <w:sz w:val="20"/>
                <w:szCs w:val="20"/>
                <w:lang w:eastAsia="en-AU"/>
              </w:rPr>
              <w:t>$31,333</w:t>
            </w:r>
          </w:p>
        </w:tc>
      </w:tr>
      <w:tr w:rsidR="00D02973" w:rsidRPr="00EA2F26" w:rsidTr="00DF2FAC">
        <w:trPr>
          <w:trHeight w:val="300"/>
        </w:trPr>
        <w:tc>
          <w:tcPr>
            <w:tcW w:w="2972"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rPr>
                <w:sz w:val="20"/>
                <w:szCs w:val="20"/>
                <w:lang w:eastAsia="en-AU"/>
              </w:rPr>
            </w:pPr>
            <w:r w:rsidRPr="00EA2F26">
              <w:rPr>
                <w:sz w:val="20"/>
                <w:szCs w:val="20"/>
                <w:lang w:eastAsia="en-AU"/>
              </w:rPr>
              <w:t>Seats</w:t>
            </w:r>
          </w:p>
        </w:tc>
        <w:tc>
          <w:tcPr>
            <w:tcW w:w="851"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871</w:t>
            </w:r>
          </w:p>
        </w:tc>
        <w:tc>
          <w:tcPr>
            <w:tcW w:w="1134"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jc w:val="center"/>
              <w:rPr>
                <w:sz w:val="20"/>
                <w:szCs w:val="20"/>
                <w:lang w:eastAsia="en-AU"/>
              </w:rPr>
            </w:pPr>
          </w:p>
        </w:tc>
        <w:tc>
          <w:tcPr>
            <w:tcW w:w="1417"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$871,000</w:t>
            </w:r>
          </w:p>
        </w:tc>
        <w:tc>
          <w:tcPr>
            <w:tcW w:w="709"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15</w:t>
            </w:r>
          </w:p>
        </w:tc>
        <w:tc>
          <w:tcPr>
            <w:tcW w:w="1417" w:type="dxa"/>
            <w:tcBorders>
              <w:top w:val="nil"/>
              <w:left w:val="single" w:sz="4" w:space="0" w:color="auto"/>
              <w:right w:val="single" w:sz="4" w:space="0" w:color="auto"/>
            </w:tcBorders>
            <w:shd w:val="clear" w:color="auto" w:fill="auto"/>
            <w:noWrap/>
            <w:vAlign w:val="bottom"/>
            <w:hideMark/>
          </w:tcPr>
          <w:p w:rsidR="00D02973" w:rsidRPr="00EA2F26" w:rsidRDefault="00D02973" w:rsidP="00DF2FAC">
            <w:pPr>
              <w:spacing w:after="0"/>
              <w:jc w:val="center"/>
              <w:rPr>
                <w:sz w:val="20"/>
                <w:szCs w:val="20"/>
                <w:lang w:eastAsia="en-AU"/>
              </w:rPr>
            </w:pPr>
            <w:r w:rsidRPr="00EA2F26">
              <w:rPr>
                <w:sz w:val="20"/>
                <w:szCs w:val="20"/>
                <w:lang w:eastAsia="en-AU"/>
              </w:rPr>
              <w:t>$58,067</w:t>
            </w:r>
          </w:p>
        </w:tc>
      </w:tr>
      <w:tr w:rsidR="00D02973" w:rsidRPr="00EA2F26" w:rsidTr="00DF2FAC">
        <w:trPr>
          <w:trHeight w:val="300"/>
        </w:trPr>
        <w:tc>
          <w:tcPr>
            <w:tcW w:w="2972"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rPr>
                <w:sz w:val="20"/>
                <w:szCs w:val="20"/>
                <w:lang w:eastAsia="en-AU"/>
              </w:rPr>
            </w:pPr>
            <w:r w:rsidRPr="00EA2F26">
              <w:rPr>
                <w:sz w:val="20"/>
                <w:szCs w:val="20"/>
                <w:lang w:eastAsia="en-AU"/>
              </w:rPr>
              <w:t>Signs</w:t>
            </w:r>
          </w:p>
        </w:tc>
        <w:tc>
          <w:tcPr>
            <w:tcW w:w="851"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1353</w:t>
            </w:r>
          </w:p>
        </w:tc>
        <w:tc>
          <w:tcPr>
            <w:tcW w:w="1134"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jc w:val="center"/>
              <w:rPr>
                <w:sz w:val="20"/>
                <w:szCs w:val="20"/>
                <w:lang w:eastAsia="en-AU"/>
              </w:rPr>
            </w:pPr>
          </w:p>
        </w:tc>
        <w:tc>
          <w:tcPr>
            <w:tcW w:w="1417"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$676,500</w:t>
            </w:r>
          </w:p>
        </w:tc>
        <w:tc>
          <w:tcPr>
            <w:tcW w:w="709"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15</w:t>
            </w:r>
          </w:p>
        </w:tc>
        <w:tc>
          <w:tcPr>
            <w:tcW w:w="1417" w:type="dxa"/>
            <w:tcBorders>
              <w:top w:val="nil"/>
              <w:left w:val="single" w:sz="4" w:space="0" w:color="auto"/>
              <w:right w:val="single" w:sz="4" w:space="0" w:color="auto"/>
            </w:tcBorders>
            <w:shd w:val="clear" w:color="auto" w:fill="auto"/>
            <w:noWrap/>
            <w:vAlign w:val="bottom"/>
            <w:hideMark/>
          </w:tcPr>
          <w:p w:rsidR="00D02973" w:rsidRPr="00EA2F26" w:rsidRDefault="00D02973" w:rsidP="00DF2FAC">
            <w:pPr>
              <w:spacing w:after="0"/>
              <w:jc w:val="center"/>
              <w:rPr>
                <w:sz w:val="20"/>
                <w:szCs w:val="20"/>
                <w:lang w:eastAsia="en-AU"/>
              </w:rPr>
            </w:pPr>
            <w:r w:rsidRPr="00EA2F26">
              <w:rPr>
                <w:sz w:val="20"/>
                <w:szCs w:val="20"/>
                <w:lang w:eastAsia="en-AU"/>
              </w:rPr>
              <w:t>$45,100</w:t>
            </w:r>
          </w:p>
        </w:tc>
      </w:tr>
      <w:tr w:rsidR="00D02973" w:rsidRPr="00EA2F26" w:rsidTr="00DF2FAC">
        <w:trPr>
          <w:trHeight w:val="300"/>
        </w:trPr>
        <w:tc>
          <w:tcPr>
            <w:tcW w:w="2972"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rPr>
                <w:sz w:val="20"/>
                <w:szCs w:val="20"/>
                <w:lang w:eastAsia="en-AU"/>
              </w:rPr>
            </w:pPr>
            <w:r w:rsidRPr="00EA2F26">
              <w:rPr>
                <w:sz w:val="20"/>
                <w:szCs w:val="20"/>
                <w:lang w:eastAsia="en-AU"/>
              </w:rPr>
              <w:t>Tree Guards</w:t>
            </w:r>
          </w:p>
        </w:tc>
        <w:tc>
          <w:tcPr>
            <w:tcW w:w="851"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19</w:t>
            </w:r>
          </w:p>
        </w:tc>
        <w:tc>
          <w:tcPr>
            <w:tcW w:w="1134"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jc w:val="center"/>
              <w:rPr>
                <w:sz w:val="20"/>
                <w:szCs w:val="20"/>
                <w:lang w:eastAsia="en-AU"/>
              </w:rPr>
            </w:pPr>
          </w:p>
        </w:tc>
        <w:tc>
          <w:tcPr>
            <w:tcW w:w="1417"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$9,500</w:t>
            </w:r>
          </w:p>
        </w:tc>
        <w:tc>
          <w:tcPr>
            <w:tcW w:w="709"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15</w:t>
            </w:r>
          </w:p>
        </w:tc>
        <w:tc>
          <w:tcPr>
            <w:tcW w:w="1417" w:type="dxa"/>
            <w:tcBorders>
              <w:top w:val="nil"/>
              <w:left w:val="single" w:sz="4" w:space="0" w:color="auto"/>
              <w:right w:val="single" w:sz="4" w:space="0" w:color="auto"/>
            </w:tcBorders>
            <w:shd w:val="clear" w:color="auto" w:fill="auto"/>
            <w:noWrap/>
            <w:vAlign w:val="bottom"/>
            <w:hideMark/>
          </w:tcPr>
          <w:p w:rsidR="00D02973" w:rsidRPr="00EA2F26" w:rsidRDefault="00D02973" w:rsidP="00DF2FAC">
            <w:pPr>
              <w:spacing w:after="0"/>
              <w:jc w:val="center"/>
              <w:rPr>
                <w:sz w:val="20"/>
                <w:szCs w:val="20"/>
                <w:lang w:eastAsia="en-AU"/>
              </w:rPr>
            </w:pPr>
            <w:r w:rsidRPr="00EA2F26">
              <w:rPr>
                <w:sz w:val="20"/>
                <w:szCs w:val="20"/>
                <w:lang w:eastAsia="en-AU"/>
              </w:rPr>
              <w:t>$633</w:t>
            </w:r>
          </w:p>
        </w:tc>
      </w:tr>
      <w:tr w:rsidR="00D02973" w:rsidRPr="00EA2F26" w:rsidTr="00DF2FAC">
        <w:trPr>
          <w:trHeight w:val="300"/>
        </w:trPr>
        <w:tc>
          <w:tcPr>
            <w:tcW w:w="2972"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rPr>
                <w:sz w:val="20"/>
                <w:szCs w:val="20"/>
                <w:lang w:eastAsia="en-AU"/>
              </w:rPr>
            </w:pPr>
            <w:r w:rsidRPr="00EA2F26">
              <w:rPr>
                <w:sz w:val="20"/>
                <w:szCs w:val="20"/>
                <w:lang w:eastAsia="en-AU"/>
              </w:rPr>
              <w:t>Irrigation systems - Other</w:t>
            </w:r>
          </w:p>
        </w:tc>
        <w:tc>
          <w:tcPr>
            <w:tcW w:w="851"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35</w:t>
            </w:r>
          </w:p>
        </w:tc>
        <w:tc>
          <w:tcPr>
            <w:tcW w:w="1134"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48.1</w:t>
            </w:r>
          </w:p>
        </w:tc>
        <w:tc>
          <w:tcPr>
            <w:tcW w:w="1417"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$1,050</w:t>
            </w:r>
          </w:p>
        </w:tc>
        <w:tc>
          <w:tcPr>
            <w:tcW w:w="709"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40</w:t>
            </w:r>
          </w:p>
        </w:tc>
        <w:tc>
          <w:tcPr>
            <w:tcW w:w="1417" w:type="dxa"/>
            <w:tcBorders>
              <w:top w:val="nil"/>
              <w:left w:val="single" w:sz="4" w:space="0" w:color="auto"/>
              <w:right w:val="single" w:sz="4" w:space="0" w:color="auto"/>
            </w:tcBorders>
            <w:shd w:val="clear" w:color="auto" w:fill="auto"/>
            <w:noWrap/>
            <w:vAlign w:val="bottom"/>
            <w:hideMark/>
          </w:tcPr>
          <w:p w:rsidR="00D02973" w:rsidRPr="00EA2F26" w:rsidRDefault="00D02973" w:rsidP="00DF2FAC">
            <w:pPr>
              <w:spacing w:after="0"/>
              <w:jc w:val="center"/>
              <w:rPr>
                <w:sz w:val="20"/>
                <w:szCs w:val="20"/>
                <w:lang w:eastAsia="en-AU"/>
              </w:rPr>
            </w:pPr>
            <w:r w:rsidRPr="00EA2F26">
              <w:rPr>
                <w:sz w:val="20"/>
                <w:szCs w:val="20"/>
                <w:lang w:eastAsia="en-AU"/>
              </w:rPr>
              <w:t>$26</w:t>
            </w:r>
          </w:p>
        </w:tc>
      </w:tr>
      <w:tr w:rsidR="00D02973" w:rsidRPr="00EA2F26" w:rsidTr="00DF2FAC">
        <w:trPr>
          <w:trHeight w:val="300"/>
        </w:trPr>
        <w:tc>
          <w:tcPr>
            <w:tcW w:w="2972"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rPr>
                <w:sz w:val="20"/>
                <w:szCs w:val="20"/>
                <w:lang w:eastAsia="en-AU"/>
              </w:rPr>
            </w:pPr>
            <w:r w:rsidRPr="00EA2F26">
              <w:rPr>
                <w:sz w:val="20"/>
                <w:szCs w:val="20"/>
                <w:lang w:eastAsia="en-AU"/>
              </w:rPr>
              <w:t>Edging &amp; Kerbing (km)</w:t>
            </w:r>
          </w:p>
        </w:tc>
        <w:tc>
          <w:tcPr>
            <w:tcW w:w="851"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364</w:t>
            </w:r>
          </w:p>
        </w:tc>
        <w:tc>
          <w:tcPr>
            <w:tcW w:w="1134"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45.7</w:t>
            </w:r>
          </w:p>
        </w:tc>
        <w:tc>
          <w:tcPr>
            <w:tcW w:w="1417"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$2,160</w:t>
            </w:r>
          </w:p>
        </w:tc>
        <w:tc>
          <w:tcPr>
            <w:tcW w:w="709"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40</w:t>
            </w:r>
          </w:p>
        </w:tc>
        <w:tc>
          <w:tcPr>
            <w:tcW w:w="1417" w:type="dxa"/>
            <w:tcBorders>
              <w:top w:val="nil"/>
              <w:left w:val="single" w:sz="4" w:space="0" w:color="auto"/>
              <w:right w:val="single" w:sz="4" w:space="0" w:color="auto"/>
            </w:tcBorders>
            <w:shd w:val="clear" w:color="auto" w:fill="auto"/>
            <w:noWrap/>
            <w:vAlign w:val="bottom"/>
            <w:hideMark/>
          </w:tcPr>
          <w:p w:rsidR="00D02973" w:rsidRPr="00EA2F26" w:rsidRDefault="00D02973" w:rsidP="00DF2FAC">
            <w:pPr>
              <w:spacing w:after="0"/>
              <w:jc w:val="center"/>
              <w:rPr>
                <w:sz w:val="20"/>
                <w:szCs w:val="20"/>
                <w:lang w:eastAsia="en-AU"/>
              </w:rPr>
            </w:pPr>
            <w:r w:rsidRPr="00EA2F26">
              <w:rPr>
                <w:sz w:val="20"/>
                <w:szCs w:val="20"/>
                <w:lang w:eastAsia="en-AU"/>
              </w:rPr>
              <w:t>$54</w:t>
            </w:r>
          </w:p>
        </w:tc>
      </w:tr>
      <w:tr w:rsidR="00D02973" w:rsidRPr="00EA2F26" w:rsidTr="00DF2FAC">
        <w:trPr>
          <w:trHeight w:val="300"/>
        </w:trPr>
        <w:tc>
          <w:tcPr>
            <w:tcW w:w="2972"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rPr>
                <w:sz w:val="20"/>
                <w:szCs w:val="20"/>
                <w:lang w:eastAsia="en-AU"/>
              </w:rPr>
            </w:pPr>
            <w:r w:rsidRPr="00EA2F26">
              <w:rPr>
                <w:sz w:val="20"/>
                <w:szCs w:val="20"/>
                <w:lang w:eastAsia="en-AU"/>
              </w:rPr>
              <w:t>Park Lights</w:t>
            </w:r>
          </w:p>
        </w:tc>
        <w:tc>
          <w:tcPr>
            <w:tcW w:w="851"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jc w:val="center"/>
              <w:rPr>
                <w:sz w:val="20"/>
                <w:szCs w:val="20"/>
                <w:lang w:eastAsia="en-AU"/>
              </w:rPr>
            </w:pPr>
          </w:p>
        </w:tc>
        <w:tc>
          <w:tcPr>
            <w:tcW w:w="1134"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jc w:val="center"/>
              <w:rPr>
                <w:sz w:val="20"/>
                <w:szCs w:val="20"/>
                <w:lang w:eastAsia="en-AU"/>
              </w:rPr>
            </w:pPr>
          </w:p>
        </w:tc>
        <w:tc>
          <w:tcPr>
            <w:tcW w:w="1417"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$728,000</w:t>
            </w:r>
          </w:p>
        </w:tc>
        <w:tc>
          <w:tcPr>
            <w:tcW w:w="709"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15</w:t>
            </w:r>
          </w:p>
        </w:tc>
        <w:tc>
          <w:tcPr>
            <w:tcW w:w="1417" w:type="dxa"/>
            <w:tcBorders>
              <w:top w:val="nil"/>
              <w:left w:val="single" w:sz="4" w:space="0" w:color="auto"/>
              <w:right w:val="single" w:sz="4" w:space="0" w:color="auto"/>
            </w:tcBorders>
            <w:shd w:val="clear" w:color="auto" w:fill="auto"/>
            <w:noWrap/>
            <w:vAlign w:val="bottom"/>
            <w:hideMark/>
          </w:tcPr>
          <w:p w:rsidR="00D02973" w:rsidRPr="00EA2F26" w:rsidRDefault="00D02973" w:rsidP="00DF2FAC">
            <w:pPr>
              <w:spacing w:after="0"/>
              <w:jc w:val="center"/>
              <w:rPr>
                <w:sz w:val="20"/>
                <w:szCs w:val="20"/>
                <w:lang w:eastAsia="en-AU"/>
              </w:rPr>
            </w:pPr>
            <w:r w:rsidRPr="00EA2F26">
              <w:rPr>
                <w:sz w:val="20"/>
                <w:szCs w:val="20"/>
                <w:lang w:eastAsia="en-AU"/>
              </w:rPr>
              <w:t>$48,533</w:t>
            </w:r>
          </w:p>
        </w:tc>
      </w:tr>
      <w:tr w:rsidR="00D02973" w:rsidRPr="00EA2F26" w:rsidTr="00DF2FAC">
        <w:trPr>
          <w:trHeight w:val="300"/>
        </w:trPr>
        <w:tc>
          <w:tcPr>
            <w:tcW w:w="2972"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rPr>
                <w:sz w:val="20"/>
                <w:szCs w:val="20"/>
                <w:lang w:eastAsia="en-AU"/>
              </w:rPr>
            </w:pPr>
            <w:r w:rsidRPr="00EA2F26">
              <w:rPr>
                <w:sz w:val="20"/>
                <w:szCs w:val="20"/>
                <w:lang w:eastAsia="en-AU"/>
              </w:rPr>
              <w:t>Paths (km)</w:t>
            </w:r>
          </w:p>
        </w:tc>
        <w:tc>
          <w:tcPr>
            <w:tcW w:w="851"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NA</w:t>
            </w:r>
          </w:p>
        </w:tc>
        <w:tc>
          <w:tcPr>
            <w:tcW w:w="1134"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jc w:val="center"/>
              <w:rPr>
                <w:sz w:val="20"/>
                <w:szCs w:val="20"/>
                <w:lang w:eastAsia="en-AU"/>
              </w:rPr>
            </w:pPr>
          </w:p>
        </w:tc>
        <w:tc>
          <w:tcPr>
            <w:tcW w:w="1417"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$3,164,040</w:t>
            </w:r>
          </w:p>
        </w:tc>
        <w:tc>
          <w:tcPr>
            <w:tcW w:w="709"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35</w:t>
            </w:r>
          </w:p>
        </w:tc>
        <w:tc>
          <w:tcPr>
            <w:tcW w:w="1417" w:type="dxa"/>
            <w:tcBorders>
              <w:top w:val="nil"/>
              <w:left w:val="single" w:sz="4" w:space="0" w:color="auto"/>
              <w:right w:val="single" w:sz="4" w:space="0" w:color="auto"/>
            </w:tcBorders>
            <w:shd w:val="clear" w:color="auto" w:fill="auto"/>
            <w:noWrap/>
            <w:vAlign w:val="bottom"/>
            <w:hideMark/>
          </w:tcPr>
          <w:p w:rsidR="00D02973" w:rsidRPr="00EA2F26" w:rsidRDefault="00D02973" w:rsidP="00DF2FAC">
            <w:pPr>
              <w:spacing w:after="0"/>
              <w:jc w:val="center"/>
              <w:rPr>
                <w:sz w:val="20"/>
                <w:szCs w:val="20"/>
                <w:lang w:eastAsia="en-AU"/>
              </w:rPr>
            </w:pPr>
            <w:r w:rsidRPr="00EA2F26">
              <w:rPr>
                <w:sz w:val="20"/>
                <w:szCs w:val="20"/>
                <w:lang w:eastAsia="en-AU"/>
              </w:rPr>
              <w:t>$90,401</w:t>
            </w:r>
          </w:p>
        </w:tc>
      </w:tr>
      <w:tr w:rsidR="00D02973" w:rsidRPr="00EA2F26" w:rsidTr="00DF2FAC">
        <w:trPr>
          <w:trHeight w:val="300"/>
        </w:trPr>
        <w:tc>
          <w:tcPr>
            <w:tcW w:w="2972"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rPr>
                <w:sz w:val="20"/>
                <w:szCs w:val="20"/>
                <w:lang w:eastAsia="en-AU"/>
              </w:rPr>
            </w:pPr>
            <w:r w:rsidRPr="00EA2F26">
              <w:rPr>
                <w:sz w:val="20"/>
                <w:szCs w:val="20"/>
                <w:lang w:eastAsia="en-AU"/>
              </w:rPr>
              <w:t>Ticket Machines(Car Parks)</w:t>
            </w:r>
          </w:p>
        </w:tc>
        <w:tc>
          <w:tcPr>
            <w:tcW w:w="851"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42</w:t>
            </w:r>
          </w:p>
        </w:tc>
        <w:tc>
          <w:tcPr>
            <w:tcW w:w="1134"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54.9</w:t>
            </w:r>
          </w:p>
        </w:tc>
        <w:tc>
          <w:tcPr>
            <w:tcW w:w="1417"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$420,000</w:t>
            </w:r>
          </w:p>
        </w:tc>
        <w:tc>
          <w:tcPr>
            <w:tcW w:w="709" w:type="dxa"/>
            <w:tcBorders>
              <w:top w:val="nil"/>
              <w:left w:val="single" w:sz="4" w:space="0" w:color="auto"/>
              <w:right w:val="single" w:sz="4"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15</w:t>
            </w:r>
          </w:p>
        </w:tc>
        <w:tc>
          <w:tcPr>
            <w:tcW w:w="1417" w:type="dxa"/>
            <w:tcBorders>
              <w:top w:val="nil"/>
              <w:left w:val="single" w:sz="4" w:space="0" w:color="auto"/>
              <w:right w:val="single" w:sz="4" w:space="0" w:color="auto"/>
            </w:tcBorders>
            <w:shd w:val="clear" w:color="auto" w:fill="auto"/>
            <w:noWrap/>
            <w:vAlign w:val="bottom"/>
            <w:hideMark/>
          </w:tcPr>
          <w:p w:rsidR="00D02973" w:rsidRPr="00EA2F26" w:rsidRDefault="00D02973" w:rsidP="00DF2FAC">
            <w:pPr>
              <w:spacing w:after="0"/>
              <w:jc w:val="center"/>
              <w:rPr>
                <w:sz w:val="20"/>
                <w:szCs w:val="20"/>
                <w:lang w:eastAsia="en-AU"/>
              </w:rPr>
            </w:pPr>
            <w:r w:rsidRPr="00EA2F26">
              <w:rPr>
                <w:sz w:val="20"/>
                <w:szCs w:val="20"/>
                <w:lang w:eastAsia="en-AU"/>
              </w:rPr>
              <w:t>$28,000</w:t>
            </w:r>
          </w:p>
        </w:tc>
      </w:tr>
      <w:tr w:rsidR="00D02973" w:rsidRPr="00EA2F26" w:rsidTr="00DF2FAC">
        <w:trPr>
          <w:trHeight w:val="300"/>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D02973" w:rsidRPr="00EA2F26" w:rsidRDefault="00D02973" w:rsidP="00DF2FAC">
            <w:pPr>
              <w:spacing w:after="0"/>
              <w:rPr>
                <w:sz w:val="20"/>
                <w:szCs w:val="20"/>
                <w:lang w:eastAsia="en-AU"/>
              </w:rPr>
            </w:pPr>
            <w:r w:rsidRPr="00EA2F26">
              <w:rPr>
                <w:sz w:val="20"/>
                <w:szCs w:val="20"/>
                <w:lang w:eastAsia="en-AU"/>
              </w:rPr>
              <w:t>Steps, Retaining Walls, Other Park Structures &amp; Equipment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NA</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02973" w:rsidRPr="00EA2F26" w:rsidRDefault="00D02973" w:rsidP="00DF2FAC">
            <w:pPr>
              <w:spacing w:after="0"/>
              <w:jc w:val="center"/>
              <w:rPr>
                <w:sz w:val="20"/>
                <w:szCs w:val="20"/>
                <w:lang w:eastAsia="en-AU"/>
              </w:rPr>
            </w:pP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$5,000,000</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50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D02973" w:rsidRPr="00EA2F26" w:rsidRDefault="00D02973" w:rsidP="00DF2FAC">
            <w:pPr>
              <w:spacing w:after="0"/>
              <w:jc w:val="center"/>
              <w:rPr>
                <w:sz w:val="20"/>
                <w:szCs w:val="20"/>
                <w:lang w:eastAsia="en-AU"/>
              </w:rPr>
            </w:pPr>
            <w:r w:rsidRPr="00EA2F26">
              <w:rPr>
                <w:sz w:val="20"/>
                <w:szCs w:val="20"/>
                <w:lang w:eastAsia="en-AU"/>
              </w:rPr>
              <w:t>100,000</w:t>
            </w:r>
          </w:p>
        </w:tc>
      </w:tr>
      <w:tr w:rsidR="00D02973" w:rsidRPr="00EA2F26" w:rsidTr="00DF2FAC">
        <w:trPr>
          <w:trHeight w:val="288"/>
        </w:trPr>
        <w:tc>
          <w:tcPr>
            <w:tcW w:w="2972" w:type="dxa"/>
            <w:tcBorders>
              <w:top w:val="single" w:sz="4" w:space="0" w:color="auto"/>
              <w:left w:val="single" w:sz="4" w:space="0" w:color="auto"/>
              <w:bottom w:val="nil"/>
              <w:right w:val="single" w:sz="4" w:space="0" w:color="auto"/>
            </w:tcBorders>
            <w:shd w:val="clear" w:color="auto" w:fill="auto"/>
            <w:vAlign w:val="center"/>
            <w:hideMark/>
          </w:tcPr>
          <w:p w:rsidR="00D02973" w:rsidRPr="00EA2F26" w:rsidRDefault="00D02973" w:rsidP="00DF2FAC">
            <w:pPr>
              <w:spacing w:after="0"/>
              <w:rPr>
                <w:sz w:val="20"/>
                <w:szCs w:val="20"/>
                <w:lang w:eastAsia="en-AU"/>
              </w:rPr>
            </w:pPr>
            <w:r w:rsidRPr="00EA2F26">
              <w:rPr>
                <w:sz w:val="20"/>
                <w:szCs w:val="20"/>
                <w:lang w:eastAsia="en-AU"/>
              </w:rPr>
              <w:t>Social Family Recreation Parks</w:t>
            </w:r>
          </w:p>
        </w:tc>
        <w:tc>
          <w:tcPr>
            <w:tcW w:w="851" w:type="dxa"/>
            <w:tcBorders>
              <w:top w:val="single" w:sz="4" w:space="0" w:color="auto"/>
              <w:left w:val="single" w:sz="4" w:space="0" w:color="auto"/>
              <w:bottom w:val="nil"/>
              <w:right w:val="single" w:sz="8"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18</w:t>
            </w:r>
          </w:p>
        </w:tc>
        <w:tc>
          <w:tcPr>
            <w:tcW w:w="1134" w:type="dxa"/>
            <w:tcBorders>
              <w:top w:val="single" w:sz="4" w:space="0" w:color="auto"/>
              <w:left w:val="nil"/>
              <w:bottom w:val="nil"/>
              <w:right w:val="nil"/>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43.35</w:t>
            </w:r>
          </w:p>
        </w:tc>
        <w:tc>
          <w:tcPr>
            <w:tcW w:w="1417" w:type="dxa"/>
            <w:tcBorders>
              <w:top w:val="single" w:sz="4" w:space="0" w:color="auto"/>
              <w:left w:val="single" w:sz="8" w:space="0" w:color="auto"/>
              <w:bottom w:val="nil"/>
              <w:right w:val="nil"/>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NA</w:t>
            </w:r>
          </w:p>
        </w:tc>
        <w:tc>
          <w:tcPr>
            <w:tcW w:w="709" w:type="dxa"/>
            <w:tcBorders>
              <w:top w:val="single" w:sz="4" w:space="0" w:color="auto"/>
              <w:left w:val="single" w:sz="8" w:space="0" w:color="auto"/>
              <w:bottom w:val="nil"/>
              <w:right w:val="single" w:sz="8"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NA</w:t>
            </w:r>
          </w:p>
        </w:tc>
        <w:tc>
          <w:tcPr>
            <w:tcW w:w="1417" w:type="dxa"/>
            <w:tcBorders>
              <w:top w:val="single" w:sz="4" w:space="0" w:color="auto"/>
              <w:left w:val="nil"/>
              <w:bottom w:val="nil"/>
              <w:right w:val="single" w:sz="4" w:space="0" w:color="auto"/>
            </w:tcBorders>
            <w:shd w:val="clear" w:color="auto" w:fill="auto"/>
            <w:noWrap/>
            <w:vAlign w:val="bottom"/>
            <w:hideMark/>
          </w:tcPr>
          <w:p w:rsidR="00D02973" w:rsidRPr="00EA2F26" w:rsidRDefault="00D02973" w:rsidP="00DF2FAC">
            <w:pPr>
              <w:spacing w:after="0"/>
              <w:jc w:val="center"/>
              <w:rPr>
                <w:sz w:val="20"/>
                <w:szCs w:val="20"/>
                <w:lang w:eastAsia="en-AU"/>
              </w:rPr>
            </w:pPr>
            <w:r>
              <w:rPr>
                <w:sz w:val="20"/>
                <w:szCs w:val="20"/>
                <w:lang w:eastAsia="en-AU"/>
              </w:rPr>
              <w:t>-</w:t>
            </w:r>
          </w:p>
        </w:tc>
      </w:tr>
      <w:tr w:rsidR="00D02973" w:rsidRPr="00EA2F26" w:rsidTr="00DF2FAC">
        <w:trPr>
          <w:trHeight w:val="288"/>
        </w:trPr>
        <w:tc>
          <w:tcPr>
            <w:tcW w:w="2972" w:type="dxa"/>
            <w:tcBorders>
              <w:top w:val="nil"/>
              <w:left w:val="single" w:sz="4" w:space="0" w:color="auto"/>
              <w:bottom w:val="nil"/>
              <w:right w:val="single" w:sz="4" w:space="0" w:color="auto"/>
            </w:tcBorders>
            <w:shd w:val="clear" w:color="auto" w:fill="auto"/>
            <w:vAlign w:val="center"/>
            <w:hideMark/>
          </w:tcPr>
          <w:p w:rsidR="00D02973" w:rsidRPr="00EA2F26" w:rsidRDefault="00D02973" w:rsidP="00DF2FAC">
            <w:pPr>
              <w:spacing w:after="0"/>
              <w:rPr>
                <w:sz w:val="20"/>
                <w:szCs w:val="20"/>
                <w:lang w:eastAsia="en-AU"/>
              </w:rPr>
            </w:pPr>
            <w:r w:rsidRPr="00EA2F26">
              <w:rPr>
                <w:sz w:val="20"/>
                <w:szCs w:val="20"/>
                <w:lang w:eastAsia="en-AU"/>
              </w:rPr>
              <w:t>Relaxation Parks</w:t>
            </w:r>
          </w:p>
        </w:tc>
        <w:tc>
          <w:tcPr>
            <w:tcW w:w="851" w:type="dxa"/>
            <w:tcBorders>
              <w:top w:val="nil"/>
              <w:left w:val="single" w:sz="4" w:space="0" w:color="auto"/>
              <w:bottom w:val="nil"/>
              <w:right w:val="single" w:sz="8"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40</w:t>
            </w:r>
          </w:p>
        </w:tc>
        <w:tc>
          <w:tcPr>
            <w:tcW w:w="1134" w:type="dxa"/>
            <w:tcBorders>
              <w:top w:val="nil"/>
              <w:left w:val="nil"/>
              <w:bottom w:val="nil"/>
              <w:right w:val="nil"/>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13.53</w:t>
            </w:r>
          </w:p>
        </w:tc>
        <w:tc>
          <w:tcPr>
            <w:tcW w:w="1417" w:type="dxa"/>
            <w:tcBorders>
              <w:top w:val="nil"/>
              <w:left w:val="single" w:sz="8" w:space="0" w:color="auto"/>
              <w:bottom w:val="nil"/>
              <w:right w:val="nil"/>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NA</w:t>
            </w:r>
          </w:p>
        </w:tc>
        <w:tc>
          <w:tcPr>
            <w:tcW w:w="709" w:type="dxa"/>
            <w:tcBorders>
              <w:top w:val="nil"/>
              <w:left w:val="single" w:sz="8" w:space="0" w:color="auto"/>
              <w:bottom w:val="nil"/>
              <w:right w:val="single" w:sz="8"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NA</w:t>
            </w:r>
          </w:p>
        </w:tc>
        <w:tc>
          <w:tcPr>
            <w:tcW w:w="1417" w:type="dxa"/>
            <w:tcBorders>
              <w:top w:val="nil"/>
              <w:left w:val="nil"/>
              <w:bottom w:val="nil"/>
              <w:right w:val="single" w:sz="4" w:space="0" w:color="auto"/>
            </w:tcBorders>
            <w:shd w:val="clear" w:color="auto" w:fill="auto"/>
            <w:noWrap/>
            <w:vAlign w:val="bottom"/>
            <w:hideMark/>
          </w:tcPr>
          <w:p w:rsidR="00D02973" w:rsidRPr="00EA2F26" w:rsidRDefault="00D02973" w:rsidP="00DF2FAC">
            <w:pPr>
              <w:spacing w:after="0"/>
              <w:jc w:val="center"/>
              <w:rPr>
                <w:sz w:val="20"/>
                <w:szCs w:val="20"/>
                <w:lang w:eastAsia="en-AU"/>
              </w:rPr>
            </w:pPr>
            <w:r>
              <w:rPr>
                <w:sz w:val="20"/>
                <w:szCs w:val="20"/>
                <w:lang w:eastAsia="en-AU"/>
              </w:rPr>
              <w:t>-</w:t>
            </w:r>
          </w:p>
        </w:tc>
      </w:tr>
      <w:tr w:rsidR="00D02973" w:rsidRPr="00EA2F26" w:rsidTr="00DF2FAC">
        <w:trPr>
          <w:trHeight w:val="288"/>
        </w:trPr>
        <w:tc>
          <w:tcPr>
            <w:tcW w:w="2972" w:type="dxa"/>
            <w:tcBorders>
              <w:top w:val="nil"/>
              <w:left w:val="single" w:sz="4" w:space="0" w:color="auto"/>
              <w:bottom w:val="nil"/>
              <w:right w:val="single" w:sz="4" w:space="0" w:color="auto"/>
            </w:tcBorders>
            <w:shd w:val="clear" w:color="auto" w:fill="auto"/>
            <w:vAlign w:val="center"/>
            <w:hideMark/>
          </w:tcPr>
          <w:p w:rsidR="00D02973" w:rsidRPr="00EA2F26" w:rsidRDefault="00D02973" w:rsidP="00DF2FAC">
            <w:pPr>
              <w:spacing w:after="0"/>
              <w:rPr>
                <w:sz w:val="20"/>
                <w:szCs w:val="20"/>
                <w:lang w:eastAsia="en-AU"/>
              </w:rPr>
            </w:pPr>
            <w:r w:rsidRPr="00EA2F26">
              <w:rPr>
                <w:sz w:val="20"/>
                <w:szCs w:val="20"/>
                <w:lang w:eastAsia="en-AU"/>
              </w:rPr>
              <w:t>Formal Gardens</w:t>
            </w:r>
          </w:p>
        </w:tc>
        <w:tc>
          <w:tcPr>
            <w:tcW w:w="851" w:type="dxa"/>
            <w:tcBorders>
              <w:top w:val="nil"/>
              <w:left w:val="single" w:sz="4" w:space="0" w:color="auto"/>
              <w:bottom w:val="nil"/>
              <w:right w:val="single" w:sz="8"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8</w:t>
            </w:r>
          </w:p>
        </w:tc>
        <w:tc>
          <w:tcPr>
            <w:tcW w:w="1134" w:type="dxa"/>
            <w:tcBorders>
              <w:top w:val="nil"/>
              <w:left w:val="nil"/>
              <w:bottom w:val="nil"/>
              <w:right w:val="nil"/>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16.05</w:t>
            </w:r>
          </w:p>
        </w:tc>
        <w:tc>
          <w:tcPr>
            <w:tcW w:w="1417" w:type="dxa"/>
            <w:tcBorders>
              <w:top w:val="nil"/>
              <w:left w:val="single" w:sz="8" w:space="0" w:color="auto"/>
              <w:bottom w:val="nil"/>
              <w:right w:val="nil"/>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NA</w:t>
            </w:r>
          </w:p>
        </w:tc>
        <w:tc>
          <w:tcPr>
            <w:tcW w:w="709" w:type="dxa"/>
            <w:tcBorders>
              <w:top w:val="nil"/>
              <w:left w:val="single" w:sz="8" w:space="0" w:color="auto"/>
              <w:bottom w:val="nil"/>
              <w:right w:val="single" w:sz="8"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NA</w:t>
            </w:r>
          </w:p>
        </w:tc>
        <w:tc>
          <w:tcPr>
            <w:tcW w:w="1417" w:type="dxa"/>
            <w:tcBorders>
              <w:top w:val="nil"/>
              <w:left w:val="nil"/>
              <w:bottom w:val="nil"/>
              <w:right w:val="single" w:sz="4" w:space="0" w:color="auto"/>
            </w:tcBorders>
            <w:shd w:val="clear" w:color="auto" w:fill="auto"/>
            <w:noWrap/>
            <w:vAlign w:val="bottom"/>
            <w:hideMark/>
          </w:tcPr>
          <w:p w:rsidR="00D02973" w:rsidRPr="00EA2F26" w:rsidRDefault="00D02973" w:rsidP="00DF2FAC">
            <w:pPr>
              <w:spacing w:after="0"/>
              <w:jc w:val="center"/>
              <w:rPr>
                <w:sz w:val="20"/>
                <w:szCs w:val="20"/>
                <w:lang w:eastAsia="en-AU"/>
              </w:rPr>
            </w:pPr>
            <w:r>
              <w:rPr>
                <w:sz w:val="20"/>
                <w:szCs w:val="20"/>
                <w:lang w:eastAsia="en-AU"/>
              </w:rPr>
              <w:t>-</w:t>
            </w:r>
          </w:p>
        </w:tc>
      </w:tr>
      <w:tr w:rsidR="00D02973" w:rsidRPr="00EA2F26" w:rsidTr="00DF2FAC">
        <w:trPr>
          <w:trHeight w:val="288"/>
        </w:trPr>
        <w:tc>
          <w:tcPr>
            <w:tcW w:w="2972" w:type="dxa"/>
            <w:tcBorders>
              <w:top w:val="nil"/>
              <w:left w:val="single" w:sz="4" w:space="0" w:color="auto"/>
              <w:bottom w:val="nil"/>
              <w:right w:val="single" w:sz="4" w:space="0" w:color="auto"/>
            </w:tcBorders>
            <w:shd w:val="clear" w:color="auto" w:fill="auto"/>
            <w:vAlign w:val="center"/>
            <w:hideMark/>
          </w:tcPr>
          <w:p w:rsidR="00D02973" w:rsidRPr="00EA2F26" w:rsidRDefault="00D02973" w:rsidP="00DF2FAC">
            <w:pPr>
              <w:spacing w:after="0"/>
              <w:rPr>
                <w:sz w:val="20"/>
                <w:szCs w:val="20"/>
                <w:lang w:eastAsia="en-AU"/>
              </w:rPr>
            </w:pPr>
            <w:r w:rsidRPr="00EA2F26">
              <w:rPr>
                <w:sz w:val="20"/>
                <w:szCs w:val="20"/>
                <w:lang w:eastAsia="en-AU"/>
              </w:rPr>
              <w:t>Conservation Reserves</w:t>
            </w:r>
          </w:p>
        </w:tc>
        <w:tc>
          <w:tcPr>
            <w:tcW w:w="851" w:type="dxa"/>
            <w:tcBorders>
              <w:top w:val="nil"/>
              <w:left w:val="single" w:sz="4" w:space="0" w:color="auto"/>
              <w:bottom w:val="nil"/>
              <w:right w:val="single" w:sz="8"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29</w:t>
            </w:r>
          </w:p>
        </w:tc>
        <w:tc>
          <w:tcPr>
            <w:tcW w:w="1134" w:type="dxa"/>
            <w:tcBorders>
              <w:top w:val="nil"/>
              <w:left w:val="nil"/>
              <w:bottom w:val="nil"/>
              <w:right w:val="nil"/>
            </w:tcBorders>
            <w:shd w:val="clear" w:color="auto" w:fill="auto"/>
            <w:vAlign w:val="center"/>
            <w:hideMark/>
          </w:tcPr>
          <w:p w:rsidR="00D02973" w:rsidRPr="00EA2F26" w:rsidRDefault="00D02973" w:rsidP="00DF2FAC">
            <w:pPr>
              <w:spacing w:after="0"/>
              <w:jc w:val="center"/>
              <w:rPr>
                <w:sz w:val="20"/>
                <w:szCs w:val="20"/>
                <w:lang w:eastAsia="en-AU"/>
              </w:rPr>
            </w:pPr>
          </w:p>
        </w:tc>
        <w:tc>
          <w:tcPr>
            <w:tcW w:w="1417" w:type="dxa"/>
            <w:tcBorders>
              <w:top w:val="nil"/>
              <w:left w:val="single" w:sz="8" w:space="0" w:color="auto"/>
              <w:bottom w:val="nil"/>
              <w:right w:val="nil"/>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NA</w:t>
            </w:r>
          </w:p>
        </w:tc>
        <w:tc>
          <w:tcPr>
            <w:tcW w:w="709" w:type="dxa"/>
            <w:tcBorders>
              <w:top w:val="nil"/>
              <w:left w:val="single" w:sz="8" w:space="0" w:color="auto"/>
              <w:bottom w:val="nil"/>
              <w:right w:val="single" w:sz="8"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NA</w:t>
            </w:r>
          </w:p>
        </w:tc>
        <w:tc>
          <w:tcPr>
            <w:tcW w:w="1417" w:type="dxa"/>
            <w:tcBorders>
              <w:top w:val="nil"/>
              <w:left w:val="nil"/>
              <w:bottom w:val="nil"/>
              <w:right w:val="single" w:sz="4" w:space="0" w:color="auto"/>
            </w:tcBorders>
            <w:shd w:val="clear" w:color="auto" w:fill="auto"/>
            <w:noWrap/>
            <w:vAlign w:val="bottom"/>
            <w:hideMark/>
          </w:tcPr>
          <w:p w:rsidR="00D02973" w:rsidRPr="00EA2F26" w:rsidRDefault="00D02973" w:rsidP="00DF2FAC">
            <w:pPr>
              <w:spacing w:after="0"/>
              <w:jc w:val="center"/>
              <w:rPr>
                <w:sz w:val="20"/>
                <w:szCs w:val="20"/>
                <w:lang w:eastAsia="en-AU"/>
              </w:rPr>
            </w:pPr>
            <w:r>
              <w:rPr>
                <w:sz w:val="20"/>
                <w:szCs w:val="20"/>
                <w:lang w:eastAsia="en-AU"/>
              </w:rPr>
              <w:t>-</w:t>
            </w:r>
          </w:p>
        </w:tc>
      </w:tr>
      <w:tr w:rsidR="00D02973" w:rsidRPr="00EA2F26" w:rsidTr="00DF2FAC">
        <w:trPr>
          <w:trHeight w:val="288"/>
        </w:trPr>
        <w:tc>
          <w:tcPr>
            <w:tcW w:w="2972" w:type="dxa"/>
            <w:tcBorders>
              <w:top w:val="nil"/>
              <w:left w:val="single" w:sz="4" w:space="0" w:color="auto"/>
              <w:bottom w:val="nil"/>
              <w:right w:val="single" w:sz="4" w:space="0" w:color="auto"/>
            </w:tcBorders>
            <w:shd w:val="clear" w:color="auto" w:fill="auto"/>
            <w:vAlign w:val="center"/>
            <w:hideMark/>
          </w:tcPr>
          <w:p w:rsidR="00D02973" w:rsidRPr="00EA2F26" w:rsidRDefault="00D02973" w:rsidP="00DF2FAC">
            <w:pPr>
              <w:spacing w:after="0"/>
              <w:rPr>
                <w:sz w:val="20"/>
                <w:szCs w:val="20"/>
                <w:lang w:eastAsia="en-AU"/>
              </w:rPr>
            </w:pPr>
            <w:r w:rsidRPr="00EA2F26">
              <w:rPr>
                <w:sz w:val="20"/>
                <w:szCs w:val="20"/>
                <w:lang w:eastAsia="en-AU"/>
              </w:rPr>
              <w:t>Inland Bushland Reserves</w:t>
            </w:r>
          </w:p>
        </w:tc>
        <w:tc>
          <w:tcPr>
            <w:tcW w:w="851" w:type="dxa"/>
            <w:tcBorders>
              <w:top w:val="nil"/>
              <w:left w:val="single" w:sz="4" w:space="0" w:color="auto"/>
              <w:bottom w:val="nil"/>
              <w:right w:val="single" w:sz="8" w:space="0" w:color="auto"/>
            </w:tcBorders>
            <w:shd w:val="clear" w:color="auto" w:fill="auto"/>
            <w:vAlign w:val="center"/>
            <w:hideMark/>
          </w:tcPr>
          <w:p w:rsidR="00D02973" w:rsidRPr="00EA2F26" w:rsidRDefault="00D02973" w:rsidP="00DF2FAC">
            <w:pPr>
              <w:spacing w:after="0"/>
              <w:jc w:val="center"/>
              <w:rPr>
                <w:sz w:val="20"/>
                <w:szCs w:val="20"/>
                <w:lang w:eastAsia="en-AU"/>
              </w:rPr>
            </w:pPr>
          </w:p>
        </w:tc>
        <w:tc>
          <w:tcPr>
            <w:tcW w:w="1134" w:type="dxa"/>
            <w:tcBorders>
              <w:top w:val="nil"/>
              <w:left w:val="nil"/>
              <w:bottom w:val="nil"/>
              <w:right w:val="nil"/>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98.9</w:t>
            </w:r>
          </w:p>
        </w:tc>
        <w:tc>
          <w:tcPr>
            <w:tcW w:w="1417" w:type="dxa"/>
            <w:tcBorders>
              <w:top w:val="nil"/>
              <w:left w:val="single" w:sz="8" w:space="0" w:color="auto"/>
              <w:bottom w:val="nil"/>
              <w:right w:val="nil"/>
            </w:tcBorders>
            <w:shd w:val="clear" w:color="auto" w:fill="auto"/>
            <w:vAlign w:val="center"/>
            <w:hideMark/>
          </w:tcPr>
          <w:p w:rsidR="00D02973" w:rsidRPr="00EA2F26" w:rsidRDefault="00D02973" w:rsidP="00DF2FAC">
            <w:pPr>
              <w:spacing w:after="0"/>
              <w:jc w:val="center"/>
              <w:rPr>
                <w:sz w:val="20"/>
                <w:szCs w:val="20"/>
                <w:lang w:eastAsia="en-AU"/>
              </w:rPr>
            </w:pPr>
            <w:r>
              <w:rPr>
                <w:sz w:val="20"/>
                <w:szCs w:val="20"/>
                <w:lang w:eastAsia="en-AU"/>
              </w:rPr>
              <w:t>NA</w:t>
            </w:r>
          </w:p>
        </w:tc>
        <w:tc>
          <w:tcPr>
            <w:tcW w:w="709" w:type="dxa"/>
            <w:tcBorders>
              <w:top w:val="nil"/>
              <w:left w:val="single" w:sz="8" w:space="0" w:color="auto"/>
              <w:bottom w:val="nil"/>
              <w:right w:val="single" w:sz="8"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NA</w:t>
            </w:r>
          </w:p>
        </w:tc>
        <w:tc>
          <w:tcPr>
            <w:tcW w:w="1417" w:type="dxa"/>
            <w:tcBorders>
              <w:top w:val="nil"/>
              <w:left w:val="nil"/>
              <w:bottom w:val="nil"/>
              <w:right w:val="single" w:sz="4" w:space="0" w:color="auto"/>
            </w:tcBorders>
            <w:shd w:val="clear" w:color="auto" w:fill="auto"/>
            <w:noWrap/>
            <w:vAlign w:val="bottom"/>
            <w:hideMark/>
          </w:tcPr>
          <w:p w:rsidR="00D02973" w:rsidRPr="00EA2F26" w:rsidRDefault="00D02973" w:rsidP="00DF2FAC">
            <w:pPr>
              <w:spacing w:after="0"/>
              <w:jc w:val="center"/>
              <w:rPr>
                <w:sz w:val="20"/>
                <w:szCs w:val="20"/>
                <w:lang w:eastAsia="en-AU"/>
              </w:rPr>
            </w:pPr>
            <w:r>
              <w:rPr>
                <w:sz w:val="20"/>
                <w:szCs w:val="20"/>
                <w:lang w:eastAsia="en-AU"/>
              </w:rPr>
              <w:t>-</w:t>
            </w:r>
          </w:p>
        </w:tc>
      </w:tr>
      <w:tr w:rsidR="00D02973" w:rsidRPr="00EA2F26" w:rsidTr="00DF2FAC">
        <w:trPr>
          <w:trHeight w:val="300"/>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D02973" w:rsidRPr="00EA2F26" w:rsidRDefault="00D02973" w:rsidP="00DF2FAC">
            <w:pPr>
              <w:spacing w:after="0"/>
              <w:rPr>
                <w:sz w:val="20"/>
                <w:szCs w:val="20"/>
                <w:lang w:eastAsia="en-AU"/>
              </w:rPr>
            </w:pPr>
            <w:r w:rsidRPr="00EA2F26">
              <w:rPr>
                <w:sz w:val="20"/>
                <w:szCs w:val="20"/>
                <w:lang w:eastAsia="en-AU"/>
              </w:rPr>
              <w:t>Foreshore Reserves</w:t>
            </w:r>
          </w:p>
        </w:tc>
        <w:tc>
          <w:tcPr>
            <w:tcW w:w="851" w:type="dxa"/>
            <w:tcBorders>
              <w:top w:val="nil"/>
              <w:left w:val="single" w:sz="4" w:space="0" w:color="auto"/>
              <w:bottom w:val="single" w:sz="4" w:space="0" w:color="auto"/>
              <w:right w:val="single" w:sz="8"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10</w:t>
            </w:r>
          </w:p>
        </w:tc>
        <w:tc>
          <w:tcPr>
            <w:tcW w:w="1134" w:type="dxa"/>
            <w:tcBorders>
              <w:top w:val="nil"/>
              <w:left w:val="nil"/>
              <w:bottom w:val="single" w:sz="4" w:space="0" w:color="auto"/>
              <w:right w:val="nil"/>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NA</w:t>
            </w:r>
          </w:p>
        </w:tc>
        <w:tc>
          <w:tcPr>
            <w:tcW w:w="1417" w:type="dxa"/>
            <w:tcBorders>
              <w:top w:val="nil"/>
              <w:left w:val="single" w:sz="8" w:space="0" w:color="auto"/>
              <w:bottom w:val="single" w:sz="4" w:space="0" w:color="auto"/>
              <w:right w:val="nil"/>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NA</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NA</w:t>
            </w:r>
          </w:p>
        </w:tc>
        <w:tc>
          <w:tcPr>
            <w:tcW w:w="1417" w:type="dxa"/>
            <w:tcBorders>
              <w:top w:val="nil"/>
              <w:left w:val="nil"/>
              <w:bottom w:val="single" w:sz="4" w:space="0" w:color="auto"/>
              <w:right w:val="single" w:sz="4" w:space="0" w:color="auto"/>
            </w:tcBorders>
            <w:shd w:val="clear" w:color="auto" w:fill="auto"/>
            <w:noWrap/>
            <w:vAlign w:val="bottom"/>
            <w:hideMark/>
          </w:tcPr>
          <w:p w:rsidR="00D02973" w:rsidRPr="00EA2F26" w:rsidRDefault="00D02973" w:rsidP="00DF2FAC">
            <w:pPr>
              <w:spacing w:after="0"/>
              <w:jc w:val="center"/>
              <w:rPr>
                <w:sz w:val="20"/>
                <w:szCs w:val="20"/>
                <w:lang w:eastAsia="en-AU"/>
              </w:rPr>
            </w:pPr>
            <w:r>
              <w:rPr>
                <w:sz w:val="20"/>
                <w:szCs w:val="20"/>
                <w:lang w:eastAsia="en-AU"/>
              </w:rPr>
              <w:t>-</w:t>
            </w:r>
          </w:p>
        </w:tc>
      </w:tr>
      <w:tr w:rsidR="00D02973" w:rsidRPr="00EA2F26" w:rsidTr="00DF2FAC">
        <w:trPr>
          <w:trHeight w:val="288"/>
        </w:trPr>
        <w:tc>
          <w:tcPr>
            <w:tcW w:w="2972" w:type="dxa"/>
            <w:tcBorders>
              <w:top w:val="single" w:sz="4" w:space="0" w:color="auto"/>
              <w:left w:val="single" w:sz="4" w:space="0" w:color="auto"/>
              <w:bottom w:val="nil"/>
              <w:right w:val="single" w:sz="4" w:space="0" w:color="auto"/>
            </w:tcBorders>
            <w:shd w:val="clear" w:color="auto" w:fill="auto"/>
            <w:vAlign w:val="center"/>
            <w:hideMark/>
          </w:tcPr>
          <w:p w:rsidR="00D02973" w:rsidRPr="00EA2F26" w:rsidRDefault="00D02973" w:rsidP="00DF2FAC">
            <w:pPr>
              <w:spacing w:after="0"/>
              <w:rPr>
                <w:sz w:val="20"/>
                <w:szCs w:val="20"/>
                <w:lang w:eastAsia="en-AU"/>
              </w:rPr>
            </w:pPr>
            <w:r w:rsidRPr="00EA2F26">
              <w:rPr>
                <w:sz w:val="20"/>
                <w:szCs w:val="20"/>
                <w:lang w:eastAsia="en-AU"/>
              </w:rPr>
              <w:t>Park Trees</w:t>
            </w:r>
          </w:p>
        </w:tc>
        <w:tc>
          <w:tcPr>
            <w:tcW w:w="851" w:type="dxa"/>
            <w:vMerge w:val="restart"/>
            <w:tcBorders>
              <w:top w:val="single" w:sz="4" w:space="0" w:color="auto"/>
              <w:left w:val="single" w:sz="4" w:space="0" w:color="auto"/>
              <w:bottom w:val="single" w:sz="8" w:space="0" w:color="000000"/>
              <w:right w:val="single" w:sz="8" w:space="0" w:color="auto"/>
            </w:tcBorders>
            <w:shd w:val="clear" w:color="auto" w:fill="auto"/>
            <w:vAlign w:val="center"/>
            <w:hideMark/>
          </w:tcPr>
          <w:p w:rsidR="00D02973" w:rsidRPr="00EA2F26" w:rsidRDefault="00D02973" w:rsidP="00DF2FAC">
            <w:pPr>
              <w:spacing w:after="0"/>
              <w:jc w:val="center"/>
              <w:rPr>
                <w:sz w:val="20"/>
                <w:szCs w:val="20"/>
                <w:lang w:eastAsia="en-AU"/>
              </w:rPr>
            </w:pPr>
          </w:p>
        </w:tc>
        <w:tc>
          <w:tcPr>
            <w:tcW w:w="1134" w:type="dxa"/>
            <w:tcBorders>
              <w:top w:val="single" w:sz="4" w:space="0" w:color="auto"/>
              <w:left w:val="nil"/>
              <w:bottom w:val="nil"/>
              <w:right w:val="nil"/>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12541</w:t>
            </w:r>
          </w:p>
        </w:tc>
        <w:tc>
          <w:tcPr>
            <w:tcW w:w="1417" w:type="dxa"/>
            <w:tcBorders>
              <w:top w:val="single" w:sz="4" w:space="0" w:color="auto"/>
              <w:left w:val="single" w:sz="8" w:space="0" w:color="auto"/>
              <w:bottom w:val="nil"/>
              <w:right w:val="nil"/>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$10,283,620</w:t>
            </w:r>
          </w:p>
        </w:tc>
        <w:tc>
          <w:tcPr>
            <w:tcW w:w="709" w:type="dxa"/>
            <w:tcBorders>
              <w:top w:val="single" w:sz="4" w:space="0" w:color="auto"/>
              <w:left w:val="single" w:sz="8" w:space="0" w:color="auto"/>
              <w:bottom w:val="nil"/>
              <w:right w:val="single" w:sz="8"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50</w:t>
            </w:r>
          </w:p>
        </w:tc>
        <w:tc>
          <w:tcPr>
            <w:tcW w:w="1417" w:type="dxa"/>
            <w:tcBorders>
              <w:top w:val="single" w:sz="4" w:space="0" w:color="auto"/>
              <w:left w:val="nil"/>
              <w:bottom w:val="nil"/>
              <w:right w:val="single" w:sz="8" w:space="0" w:color="auto"/>
            </w:tcBorders>
            <w:shd w:val="clear" w:color="auto" w:fill="auto"/>
            <w:noWrap/>
            <w:vAlign w:val="bottom"/>
            <w:hideMark/>
          </w:tcPr>
          <w:p w:rsidR="00D02973" w:rsidRPr="00EA2F26" w:rsidRDefault="00D02973" w:rsidP="00DF2FAC">
            <w:pPr>
              <w:spacing w:after="0"/>
              <w:jc w:val="center"/>
              <w:rPr>
                <w:sz w:val="20"/>
                <w:szCs w:val="20"/>
                <w:lang w:eastAsia="en-AU"/>
              </w:rPr>
            </w:pPr>
            <w:r w:rsidRPr="00EA2F26">
              <w:rPr>
                <w:sz w:val="20"/>
                <w:szCs w:val="20"/>
                <w:lang w:eastAsia="en-AU"/>
              </w:rPr>
              <w:t>$205,672</w:t>
            </w:r>
          </w:p>
        </w:tc>
      </w:tr>
      <w:tr w:rsidR="00D02973" w:rsidRPr="00EA2F26" w:rsidTr="00DF2FAC">
        <w:trPr>
          <w:trHeight w:val="288"/>
        </w:trPr>
        <w:tc>
          <w:tcPr>
            <w:tcW w:w="2972" w:type="dxa"/>
            <w:tcBorders>
              <w:top w:val="nil"/>
              <w:left w:val="single" w:sz="4" w:space="0" w:color="auto"/>
              <w:bottom w:val="nil"/>
              <w:right w:val="single" w:sz="4" w:space="0" w:color="auto"/>
            </w:tcBorders>
            <w:shd w:val="clear" w:color="auto" w:fill="auto"/>
            <w:vAlign w:val="center"/>
            <w:hideMark/>
          </w:tcPr>
          <w:p w:rsidR="00D02973" w:rsidRPr="00EA2F26" w:rsidRDefault="00D02973" w:rsidP="00DF2FAC">
            <w:pPr>
              <w:spacing w:after="0"/>
              <w:rPr>
                <w:sz w:val="20"/>
                <w:szCs w:val="20"/>
                <w:lang w:eastAsia="en-AU"/>
              </w:rPr>
            </w:pPr>
            <w:r w:rsidRPr="00EA2F26">
              <w:rPr>
                <w:sz w:val="20"/>
                <w:szCs w:val="20"/>
                <w:lang w:eastAsia="en-AU"/>
              </w:rPr>
              <w:t>Significant Park Trees</w:t>
            </w:r>
          </w:p>
        </w:tc>
        <w:tc>
          <w:tcPr>
            <w:tcW w:w="851" w:type="dxa"/>
            <w:vMerge/>
            <w:tcBorders>
              <w:top w:val="nil"/>
              <w:left w:val="single" w:sz="4" w:space="0" w:color="auto"/>
              <w:bottom w:val="single" w:sz="8" w:space="0" w:color="000000"/>
              <w:right w:val="single" w:sz="8" w:space="0" w:color="auto"/>
            </w:tcBorders>
            <w:vAlign w:val="center"/>
            <w:hideMark/>
          </w:tcPr>
          <w:p w:rsidR="00D02973" w:rsidRPr="00EA2F26" w:rsidRDefault="00D02973" w:rsidP="00DF2FAC">
            <w:pPr>
              <w:spacing w:after="0"/>
              <w:jc w:val="center"/>
              <w:rPr>
                <w:sz w:val="20"/>
                <w:szCs w:val="20"/>
                <w:lang w:eastAsia="en-AU"/>
              </w:rPr>
            </w:pPr>
          </w:p>
        </w:tc>
        <w:tc>
          <w:tcPr>
            <w:tcW w:w="1134" w:type="dxa"/>
            <w:tcBorders>
              <w:top w:val="nil"/>
              <w:left w:val="nil"/>
              <w:bottom w:val="nil"/>
              <w:right w:val="nil"/>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22</w:t>
            </w:r>
          </w:p>
        </w:tc>
        <w:tc>
          <w:tcPr>
            <w:tcW w:w="1417" w:type="dxa"/>
            <w:tcBorders>
              <w:top w:val="nil"/>
              <w:left w:val="single" w:sz="8" w:space="0" w:color="auto"/>
              <w:bottom w:val="nil"/>
              <w:right w:val="nil"/>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$18,040</w:t>
            </w:r>
          </w:p>
        </w:tc>
        <w:tc>
          <w:tcPr>
            <w:tcW w:w="709" w:type="dxa"/>
            <w:tcBorders>
              <w:top w:val="nil"/>
              <w:left w:val="single" w:sz="8" w:space="0" w:color="auto"/>
              <w:bottom w:val="nil"/>
              <w:right w:val="single" w:sz="8"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80</w:t>
            </w:r>
          </w:p>
        </w:tc>
        <w:tc>
          <w:tcPr>
            <w:tcW w:w="1417" w:type="dxa"/>
            <w:tcBorders>
              <w:top w:val="nil"/>
              <w:left w:val="nil"/>
              <w:bottom w:val="nil"/>
              <w:right w:val="single" w:sz="8" w:space="0" w:color="auto"/>
            </w:tcBorders>
            <w:shd w:val="clear" w:color="auto" w:fill="auto"/>
            <w:noWrap/>
            <w:vAlign w:val="bottom"/>
            <w:hideMark/>
          </w:tcPr>
          <w:p w:rsidR="00D02973" w:rsidRPr="00EA2F26" w:rsidRDefault="00D02973" w:rsidP="00DF2FAC">
            <w:pPr>
              <w:spacing w:after="0"/>
              <w:jc w:val="center"/>
              <w:rPr>
                <w:sz w:val="20"/>
                <w:szCs w:val="20"/>
                <w:lang w:eastAsia="en-AU"/>
              </w:rPr>
            </w:pPr>
            <w:r w:rsidRPr="00EA2F26">
              <w:rPr>
                <w:sz w:val="20"/>
                <w:szCs w:val="20"/>
                <w:lang w:eastAsia="en-AU"/>
              </w:rPr>
              <w:t>$226</w:t>
            </w:r>
          </w:p>
        </w:tc>
      </w:tr>
      <w:tr w:rsidR="00D02973" w:rsidRPr="00EA2F26" w:rsidTr="00DF2FAC">
        <w:trPr>
          <w:trHeight w:val="288"/>
        </w:trPr>
        <w:tc>
          <w:tcPr>
            <w:tcW w:w="2972" w:type="dxa"/>
            <w:tcBorders>
              <w:top w:val="nil"/>
              <w:left w:val="single" w:sz="4" w:space="0" w:color="auto"/>
              <w:bottom w:val="nil"/>
              <w:right w:val="single" w:sz="4" w:space="0" w:color="auto"/>
            </w:tcBorders>
            <w:shd w:val="clear" w:color="auto" w:fill="auto"/>
            <w:vAlign w:val="center"/>
            <w:hideMark/>
          </w:tcPr>
          <w:p w:rsidR="00D02973" w:rsidRPr="00EA2F26" w:rsidRDefault="00D02973" w:rsidP="00DF2FAC">
            <w:pPr>
              <w:spacing w:after="0"/>
              <w:rPr>
                <w:sz w:val="20"/>
                <w:szCs w:val="20"/>
                <w:lang w:eastAsia="en-AU"/>
              </w:rPr>
            </w:pPr>
            <w:r w:rsidRPr="00EA2F26">
              <w:rPr>
                <w:sz w:val="20"/>
                <w:szCs w:val="20"/>
                <w:lang w:eastAsia="en-AU"/>
              </w:rPr>
              <w:t>Street Trees</w:t>
            </w:r>
          </w:p>
        </w:tc>
        <w:tc>
          <w:tcPr>
            <w:tcW w:w="851" w:type="dxa"/>
            <w:vMerge/>
            <w:tcBorders>
              <w:top w:val="nil"/>
              <w:left w:val="single" w:sz="4" w:space="0" w:color="auto"/>
              <w:bottom w:val="single" w:sz="8" w:space="0" w:color="000000"/>
              <w:right w:val="single" w:sz="8" w:space="0" w:color="auto"/>
            </w:tcBorders>
            <w:vAlign w:val="center"/>
            <w:hideMark/>
          </w:tcPr>
          <w:p w:rsidR="00D02973" w:rsidRPr="00EA2F26" w:rsidRDefault="00D02973" w:rsidP="00DF2FAC">
            <w:pPr>
              <w:spacing w:after="0"/>
              <w:jc w:val="center"/>
              <w:rPr>
                <w:sz w:val="20"/>
                <w:szCs w:val="20"/>
                <w:lang w:eastAsia="en-AU"/>
              </w:rPr>
            </w:pPr>
          </w:p>
        </w:tc>
        <w:tc>
          <w:tcPr>
            <w:tcW w:w="1134" w:type="dxa"/>
            <w:tcBorders>
              <w:top w:val="nil"/>
              <w:left w:val="nil"/>
              <w:bottom w:val="nil"/>
              <w:right w:val="nil"/>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42049</w:t>
            </w:r>
          </w:p>
        </w:tc>
        <w:tc>
          <w:tcPr>
            <w:tcW w:w="1417" w:type="dxa"/>
            <w:tcBorders>
              <w:top w:val="nil"/>
              <w:left w:val="single" w:sz="8" w:space="0" w:color="auto"/>
              <w:bottom w:val="nil"/>
              <w:right w:val="nil"/>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$34,480,180</w:t>
            </w:r>
          </w:p>
        </w:tc>
        <w:tc>
          <w:tcPr>
            <w:tcW w:w="709" w:type="dxa"/>
            <w:tcBorders>
              <w:top w:val="nil"/>
              <w:left w:val="single" w:sz="8" w:space="0" w:color="auto"/>
              <w:bottom w:val="nil"/>
              <w:right w:val="single" w:sz="8"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50</w:t>
            </w:r>
          </w:p>
        </w:tc>
        <w:tc>
          <w:tcPr>
            <w:tcW w:w="1417" w:type="dxa"/>
            <w:tcBorders>
              <w:top w:val="nil"/>
              <w:left w:val="nil"/>
              <w:bottom w:val="nil"/>
              <w:right w:val="single" w:sz="8" w:space="0" w:color="auto"/>
            </w:tcBorders>
            <w:shd w:val="clear" w:color="auto" w:fill="auto"/>
            <w:noWrap/>
            <w:vAlign w:val="bottom"/>
            <w:hideMark/>
          </w:tcPr>
          <w:p w:rsidR="00D02973" w:rsidRPr="00EA2F26" w:rsidRDefault="00D02973" w:rsidP="00DF2FAC">
            <w:pPr>
              <w:spacing w:after="0"/>
              <w:jc w:val="center"/>
              <w:rPr>
                <w:sz w:val="20"/>
                <w:szCs w:val="20"/>
                <w:lang w:eastAsia="en-AU"/>
              </w:rPr>
            </w:pPr>
            <w:r w:rsidRPr="00EA2F26">
              <w:rPr>
                <w:sz w:val="20"/>
                <w:szCs w:val="20"/>
                <w:lang w:eastAsia="en-AU"/>
              </w:rPr>
              <w:t>$689,604</w:t>
            </w:r>
          </w:p>
        </w:tc>
      </w:tr>
      <w:tr w:rsidR="00D02973" w:rsidRPr="00EA2F26" w:rsidTr="00DF2FAC">
        <w:trPr>
          <w:trHeight w:val="300"/>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D02973" w:rsidRPr="00EA2F26" w:rsidRDefault="00D02973" w:rsidP="00DF2FAC">
            <w:pPr>
              <w:spacing w:after="0"/>
              <w:rPr>
                <w:sz w:val="20"/>
                <w:szCs w:val="20"/>
                <w:lang w:eastAsia="en-AU"/>
              </w:rPr>
            </w:pPr>
            <w:r w:rsidRPr="00EA2F26">
              <w:rPr>
                <w:sz w:val="20"/>
                <w:szCs w:val="20"/>
                <w:lang w:eastAsia="en-AU"/>
              </w:rPr>
              <w:t>Significant Street Trees</w:t>
            </w:r>
          </w:p>
        </w:tc>
        <w:tc>
          <w:tcPr>
            <w:tcW w:w="851" w:type="dxa"/>
            <w:vMerge/>
            <w:tcBorders>
              <w:top w:val="nil"/>
              <w:left w:val="single" w:sz="4" w:space="0" w:color="auto"/>
              <w:bottom w:val="single" w:sz="4" w:space="0" w:color="auto"/>
              <w:right w:val="single" w:sz="8" w:space="0" w:color="auto"/>
            </w:tcBorders>
            <w:vAlign w:val="center"/>
            <w:hideMark/>
          </w:tcPr>
          <w:p w:rsidR="00D02973" w:rsidRPr="00EA2F26" w:rsidRDefault="00D02973" w:rsidP="00DF2FAC">
            <w:pPr>
              <w:spacing w:after="0"/>
              <w:jc w:val="center"/>
              <w:rPr>
                <w:sz w:val="20"/>
                <w:szCs w:val="20"/>
                <w:lang w:eastAsia="en-AU"/>
              </w:rPr>
            </w:pPr>
          </w:p>
        </w:tc>
        <w:tc>
          <w:tcPr>
            <w:tcW w:w="1134" w:type="dxa"/>
            <w:tcBorders>
              <w:top w:val="nil"/>
              <w:left w:val="nil"/>
              <w:bottom w:val="single" w:sz="4" w:space="0" w:color="auto"/>
              <w:right w:val="nil"/>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2012</w:t>
            </w:r>
          </w:p>
        </w:tc>
        <w:tc>
          <w:tcPr>
            <w:tcW w:w="1417" w:type="dxa"/>
            <w:tcBorders>
              <w:top w:val="nil"/>
              <w:left w:val="single" w:sz="8" w:space="0" w:color="auto"/>
              <w:bottom w:val="single" w:sz="4" w:space="0" w:color="auto"/>
              <w:right w:val="nil"/>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$1,649,840</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D02973" w:rsidRPr="00EA2F26" w:rsidRDefault="00D02973" w:rsidP="00DF2FAC">
            <w:pPr>
              <w:spacing w:after="0"/>
              <w:jc w:val="center"/>
              <w:rPr>
                <w:sz w:val="20"/>
                <w:szCs w:val="20"/>
                <w:lang w:eastAsia="en-AU"/>
              </w:rPr>
            </w:pPr>
            <w:r w:rsidRPr="00EA2F26">
              <w:rPr>
                <w:sz w:val="20"/>
                <w:szCs w:val="20"/>
                <w:lang w:eastAsia="en-AU"/>
              </w:rPr>
              <w:t>80</w:t>
            </w:r>
          </w:p>
        </w:tc>
        <w:tc>
          <w:tcPr>
            <w:tcW w:w="1417" w:type="dxa"/>
            <w:tcBorders>
              <w:top w:val="nil"/>
              <w:left w:val="nil"/>
              <w:bottom w:val="single" w:sz="4" w:space="0" w:color="auto"/>
              <w:right w:val="single" w:sz="8" w:space="0" w:color="auto"/>
            </w:tcBorders>
            <w:shd w:val="clear" w:color="auto" w:fill="auto"/>
            <w:noWrap/>
            <w:vAlign w:val="bottom"/>
            <w:hideMark/>
          </w:tcPr>
          <w:p w:rsidR="00D02973" w:rsidRPr="00EA2F26" w:rsidRDefault="00D02973" w:rsidP="00DF2FAC">
            <w:pPr>
              <w:spacing w:after="0"/>
              <w:jc w:val="center"/>
              <w:rPr>
                <w:sz w:val="20"/>
                <w:szCs w:val="20"/>
                <w:lang w:eastAsia="en-AU"/>
              </w:rPr>
            </w:pPr>
            <w:r w:rsidRPr="00EA2F26">
              <w:rPr>
                <w:sz w:val="20"/>
                <w:szCs w:val="20"/>
                <w:lang w:eastAsia="en-AU"/>
              </w:rPr>
              <w:t>$20,623</w:t>
            </w:r>
          </w:p>
        </w:tc>
      </w:tr>
      <w:tr w:rsidR="00D02973" w:rsidRPr="00EA2F26" w:rsidTr="00DF2FAC">
        <w:trPr>
          <w:trHeight w:val="324"/>
        </w:trPr>
        <w:tc>
          <w:tcPr>
            <w:tcW w:w="2972" w:type="dxa"/>
            <w:tcBorders>
              <w:top w:val="single" w:sz="4" w:space="0" w:color="auto"/>
              <w:left w:val="single" w:sz="4" w:space="0" w:color="auto"/>
              <w:bottom w:val="single" w:sz="4" w:space="0" w:color="auto"/>
            </w:tcBorders>
            <w:shd w:val="clear" w:color="auto" w:fill="auto"/>
            <w:vAlign w:val="center"/>
            <w:hideMark/>
          </w:tcPr>
          <w:p w:rsidR="00D02973" w:rsidRPr="00EA2F26" w:rsidRDefault="00D02973" w:rsidP="00DF2FAC">
            <w:pPr>
              <w:spacing w:after="0"/>
              <w:rPr>
                <w:b/>
                <w:sz w:val="20"/>
                <w:szCs w:val="20"/>
                <w:lang w:eastAsia="en-AU"/>
              </w:rPr>
            </w:pPr>
            <w:r w:rsidRPr="00EA2F26">
              <w:rPr>
                <w:b/>
                <w:sz w:val="20"/>
                <w:szCs w:val="20"/>
                <w:lang w:eastAsia="en-AU"/>
              </w:rPr>
              <w:lastRenderedPageBreak/>
              <w:t>Total</w:t>
            </w:r>
          </w:p>
        </w:tc>
        <w:tc>
          <w:tcPr>
            <w:tcW w:w="851" w:type="dxa"/>
            <w:tcBorders>
              <w:top w:val="single" w:sz="4" w:space="0" w:color="auto"/>
              <w:bottom w:val="single" w:sz="4" w:space="0" w:color="auto"/>
            </w:tcBorders>
            <w:shd w:val="clear" w:color="auto" w:fill="auto"/>
            <w:vAlign w:val="center"/>
            <w:hideMark/>
          </w:tcPr>
          <w:p w:rsidR="00D02973" w:rsidRPr="00EA2F26" w:rsidRDefault="00D02973" w:rsidP="00DF2FAC">
            <w:pPr>
              <w:spacing w:after="0"/>
              <w:jc w:val="center"/>
              <w:rPr>
                <w:b/>
                <w:sz w:val="20"/>
                <w:szCs w:val="20"/>
                <w:lang w:eastAsia="en-AU"/>
              </w:rPr>
            </w:pPr>
          </w:p>
        </w:tc>
        <w:tc>
          <w:tcPr>
            <w:tcW w:w="1134" w:type="dxa"/>
            <w:tcBorders>
              <w:top w:val="single" w:sz="4" w:space="0" w:color="auto"/>
              <w:bottom w:val="single" w:sz="4" w:space="0" w:color="auto"/>
            </w:tcBorders>
            <w:shd w:val="clear" w:color="auto" w:fill="auto"/>
            <w:vAlign w:val="center"/>
            <w:hideMark/>
          </w:tcPr>
          <w:p w:rsidR="00D02973" w:rsidRPr="00EA2F26" w:rsidRDefault="00D02973" w:rsidP="00DF2FAC">
            <w:pPr>
              <w:spacing w:after="0"/>
              <w:jc w:val="center"/>
              <w:rPr>
                <w:b/>
                <w:sz w:val="20"/>
                <w:szCs w:val="20"/>
                <w:lang w:eastAsia="en-AU"/>
              </w:rPr>
            </w:pPr>
          </w:p>
        </w:tc>
        <w:tc>
          <w:tcPr>
            <w:tcW w:w="1417" w:type="dxa"/>
            <w:tcBorders>
              <w:top w:val="single" w:sz="4" w:space="0" w:color="auto"/>
              <w:bottom w:val="single" w:sz="4" w:space="0" w:color="auto"/>
            </w:tcBorders>
            <w:shd w:val="clear" w:color="auto" w:fill="auto"/>
            <w:vAlign w:val="center"/>
            <w:hideMark/>
          </w:tcPr>
          <w:p w:rsidR="00D02973" w:rsidRPr="00EA2F26" w:rsidRDefault="00D02973" w:rsidP="00DF2FAC">
            <w:pPr>
              <w:spacing w:after="0"/>
              <w:jc w:val="center"/>
              <w:rPr>
                <w:b/>
                <w:sz w:val="20"/>
                <w:szCs w:val="20"/>
                <w:lang w:eastAsia="en-AU"/>
              </w:rPr>
            </w:pPr>
            <w:r w:rsidRPr="00EA2F26">
              <w:rPr>
                <w:b/>
                <w:sz w:val="20"/>
                <w:szCs w:val="20"/>
                <w:lang w:eastAsia="en-AU"/>
              </w:rPr>
              <w:t>$98,486,465</w:t>
            </w:r>
          </w:p>
        </w:tc>
        <w:tc>
          <w:tcPr>
            <w:tcW w:w="709" w:type="dxa"/>
            <w:tcBorders>
              <w:top w:val="single" w:sz="4" w:space="0" w:color="auto"/>
              <w:bottom w:val="single" w:sz="4" w:space="0" w:color="auto"/>
            </w:tcBorders>
            <w:shd w:val="clear" w:color="auto" w:fill="auto"/>
            <w:vAlign w:val="center"/>
            <w:hideMark/>
          </w:tcPr>
          <w:p w:rsidR="00D02973" w:rsidRPr="00EA2F26" w:rsidRDefault="00D02973" w:rsidP="00DF2FAC">
            <w:pPr>
              <w:spacing w:after="0"/>
              <w:jc w:val="center"/>
              <w:rPr>
                <w:b/>
                <w:sz w:val="20"/>
                <w:szCs w:val="20"/>
                <w:lang w:eastAsia="en-AU"/>
              </w:rPr>
            </w:pPr>
          </w:p>
        </w:tc>
        <w:tc>
          <w:tcPr>
            <w:tcW w:w="1417" w:type="dxa"/>
            <w:tcBorders>
              <w:top w:val="single" w:sz="4" w:space="0" w:color="auto"/>
              <w:bottom w:val="single" w:sz="4" w:space="0" w:color="auto"/>
              <w:right w:val="single" w:sz="4" w:space="0" w:color="auto"/>
            </w:tcBorders>
            <w:shd w:val="clear" w:color="auto" w:fill="auto"/>
            <w:noWrap/>
            <w:vAlign w:val="bottom"/>
            <w:hideMark/>
          </w:tcPr>
          <w:p w:rsidR="00D02973" w:rsidRPr="00EA2F26" w:rsidRDefault="00D02973" w:rsidP="00DF2FAC">
            <w:pPr>
              <w:spacing w:after="0"/>
              <w:jc w:val="center"/>
              <w:rPr>
                <w:b/>
                <w:sz w:val="20"/>
                <w:szCs w:val="20"/>
                <w:lang w:eastAsia="en-AU"/>
              </w:rPr>
            </w:pPr>
            <w:r w:rsidRPr="00EA2F26">
              <w:rPr>
                <w:b/>
                <w:sz w:val="20"/>
                <w:szCs w:val="20"/>
                <w:lang w:eastAsia="en-AU"/>
              </w:rPr>
              <w:t>$2,582,402</w:t>
            </w:r>
          </w:p>
        </w:tc>
      </w:tr>
    </w:tbl>
    <w:p w:rsidR="00D02973" w:rsidRPr="00EA2F26" w:rsidRDefault="00D02973" w:rsidP="00D02973">
      <w:pPr>
        <w:autoSpaceDE w:val="0"/>
        <w:autoSpaceDN w:val="0"/>
        <w:adjustRightInd w:val="0"/>
        <w:rPr>
          <w:rFonts w:cs="Calibri"/>
          <w:color w:val="000000"/>
        </w:rPr>
      </w:pPr>
    </w:p>
    <w:p w:rsidR="00D02973" w:rsidRPr="00EA2F26" w:rsidRDefault="00D02973" w:rsidP="00D02973">
      <w:pPr>
        <w:autoSpaceDE w:val="0"/>
        <w:autoSpaceDN w:val="0"/>
        <w:adjustRightInd w:val="0"/>
        <w:rPr>
          <w:rFonts w:cs="Calibri"/>
          <w:color w:val="000000"/>
        </w:rPr>
      </w:pPr>
      <w:r w:rsidRPr="00EA2F26">
        <w:rPr>
          <w:rFonts w:cs="Calibri"/>
          <w:color w:val="000000"/>
        </w:rPr>
        <w:t xml:space="preserve">Some inconsistencies have been identified between recent asset audit information in Authority and historic data in the Finance Register, </w:t>
      </w:r>
      <w:r>
        <w:rPr>
          <w:rFonts w:cs="Calibri"/>
          <w:color w:val="000000"/>
        </w:rPr>
        <w:t>which</w:t>
      </w:r>
      <w:r w:rsidRPr="00EA2F26">
        <w:rPr>
          <w:rFonts w:cs="Calibri"/>
          <w:color w:val="000000"/>
        </w:rPr>
        <w:t xml:space="preserve"> will be reviewed as an improvement action (refer Section 7.3). In 2015</w:t>
      </w:r>
      <w:r>
        <w:rPr>
          <w:rFonts w:cs="Calibri"/>
          <w:color w:val="000000"/>
        </w:rPr>
        <w:t>,</w:t>
      </w:r>
      <w:r w:rsidRPr="00EA2F26">
        <w:rPr>
          <w:rFonts w:cs="Calibri"/>
          <w:color w:val="000000"/>
        </w:rPr>
        <w:t xml:space="preserve"> a preliminary review was carried out on </w:t>
      </w:r>
      <w:r>
        <w:rPr>
          <w:rFonts w:cs="Calibri"/>
          <w:color w:val="000000"/>
        </w:rPr>
        <w:t>Council’s</w:t>
      </w:r>
      <w:r w:rsidRPr="00EA2F26">
        <w:rPr>
          <w:rFonts w:cs="Calibri"/>
          <w:color w:val="000000"/>
        </w:rPr>
        <w:t xml:space="preserve"> playing field asset inventory. The review identified a number of gaps in the inventory listed above. Desk based valuations were prepared for these assets. It was recommended to conduct</w:t>
      </w:r>
      <w:r>
        <w:rPr>
          <w:rFonts w:cs="Calibri"/>
          <w:color w:val="000000"/>
        </w:rPr>
        <w:t xml:space="preserve"> a comprehensive review of the open s</w:t>
      </w:r>
      <w:r w:rsidRPr="00EA2F26">
        <w:rPr>
          <w:rFonts w:cs="Calibri"/>
          <w:color w:val="000000"/>
        </w:rPr>
        <w:t xml:space="preserve">pace asset data including condition assessment and revaluation. </w:t>
      </w:r>
    </w:p>
    <w:p w:rsidR="00D02973" w:rsidRPr="00EA2F26" w:rsidRDefault="00D02973" w:rsidP="00D02973">
      <w:pPr>
        <w:autoSpaceDE w:val="0"/>
        <w:autoSpaceDN w:val="0"/>
        <w:adjustRightInd w:val="0"/>
        <w:rPr>
          <w:rFonts w:cs="Calibri"/>
          <w:color w:val="000000"/>
          <w:sz w:val="23"/>
          <w:szCs w:val="23"/>
        </w:rPr>
      </w:pPr>
      <w:r w:rsidRPr="00EA2F26">
        <w:rPr>
          <w:rFonts w:cs="Calibri"/>
          <w:color w:val="000000"/>
        </w:rPr>
        <w:t xml:space="preserve">To enable the recreation and open space asset stock to be prioritised in order of importance, a functional hierarchy classification criterion has been established in this plan and all recreation and open spaces have been classified into the hierarchy. </w:t>
      </w:r>
      <w:r w:rsidRPr="00EA2F26">
        <w:rPr>
          <w:rFonts w:cs="Calibri"/>
          <w:bCs/>
          <w:color w:val="000000"/>
        </w:rPr>
        <w:t xml:space="preserve">Appendices 1 and 2 </w:t>
      </w:r>
      <w:r w:rsidRPr="00EA2F26">
        <w:rPr>
          <w:rFonts w:cs="Calibri"/>
          <w:color w:val="000000"/>
        </w:rPr>
        <w:t>outline the recommended hierarchy.</w:t>
      </w:r>
    </w:p>
    <w:p w:rsidR="00D02973" w:rsidRPr="00DF2FAC" w:rsidRDefault="00D02973" w:rsidP="00D02973">
      <w:pPr>
        <w:pStyle w:val="Heading2"/>
        <w:spacing w:after="200"/>
        <w:rPr>
          <w:rFonts w:asciiTheme="minorHAnsi" w:hAnsiTheme="minorHAnsi"/>
          <w:color w:val="2E74B5" w:themeColor="accent1" w:themeShade="BF"/>
        </w:rPr>
      </w:pPr>
      <w:bookmarkStart w:id="35" w:name="_Toc448475192"/>
      <w:r w:rsidRPr="00DF2FAC">
        <w:rPr>
          <w:rFonts w:asciiTheme="minorHAnsi" w:hAnsiTheme="minorHAnsi"/>
          <w:color w:val="2E74B5" w:themeColor="accent1" w:themeShade="BF"/>
        </w:rPr>
        <w:t>4.2</w:t>
      </w:r>
      <w:r w:rsidRPr="00DF2FAC">
        <w:rPr>
          <w:rFonts w:asciiTheme="minorHAnsi" w:hAnsiTheme="minorHAnsi"/>
          <w:color w:val="2E74B5" w:themeColor="accent1" w:themeShade="BF"/>
        </w:rPr>
        <w:tab/>
        <w:t>Asset Age and Useful Lives</w:t>
      </w:r>
      <w:bookmarkEnd w:id="35"/>
    </w:p>
    <w:p w:rsidR="00D02973" w:rsidRPr="00EA2F26" w:rsidRDefault="00D02973" w:rsidP="00D02973">
      <w:pPr>
        <w:pStyle w:val="Heading3"/>
        <w:spacing w:after="200"/>
        <w:rPr>
          <w:rFonts w:asciiTheme="minorHAnsi" w:hAnsiTheme="minorHAnsi"/>
          <w:color w:val="7F7F7F" w:themeColor="text1" w:themeTint="80"/>
        </w:rPr>
      </w:pPr>
      <w:bookmarkStart w:id="36" w:name="_Toc448475193"/>
      <w:r w:rsidRPr="00EA2F26">
        <w:rPr>
          <w:rFonts w:asciiTheme="minorHAnsi" w:hAnsiTheme="minorHAnsi"/>
          <w:color w:val="7F7F7F" w:themeColor="text1" w:themeTint="80"/>
        </w:rPr>
        <w:t xml:space="preserve">4.2.1 </w:t>
      </w:r>
      <w:r w:rsidRPr="00EA2F26">
        <w:rPr>
          <w:rFonts w:asciiTheme="minorHAnsi" w:hAnsiTheme="minorHAnsi"/>
          <w:color w:val="7F7F7F" w:themeColor="text1" w:themeTint="80"/>
        </w:rPr>
        <w:tab/>
        <w:t>Asset Useful lives</w:t>
      </w:r>
      <w:bookmarkEnd w:id="36"/>
    </w:p>
    <w:p w:rsidR="00D02973" w:rsidRPr="00EA2F26" w:rsidRDefault="00D02973" w:rsidP="00D02973">
      <w:r w:rsidRPr="00EA2F26">
        <w:t>A key component of asset performance is asset life. A key aspect of asset management is achieving optimum life for lowest lifecycle cost. The useful lives of each recreation and open space element/component utilised in the financial modellin</w:t>
      </w:r>
      <w:r>
        <w:t>g undertaken in developing the R&amp;O</w:t>
      </w:r>
      <w:r w:rsidRPr="00EA2F26">
        <w:t xml:space="preserve">S-AMP are </w:t>
      </w:r>
      <w:r>
        <w:t>shown in Table 4</w:t>
      </w:r>
      <w:r w:rsidRPr="00EA2F26">
        <w:t xml:space="preserve"> above. </w:t>
      </w:r>
    </w:p>
    <w:p w:rsidR="00D02973" w:rsidRPr="00EA2F26" w:rsidRDefault="00D02973" w:rsidP="00D02973">
      <w:r w:rsidRPr="00EA2F26">
        <w:t xml:space="preserve">Given the number of different types of assets in many of the above categories there is in reality a range of useful lives in each category. The adopted useful lives above are the average life of the majority of assets in that category. </w:t>
      </w:r>
    </w:p>
    <w:p w:rsidR="00D02973" w:rsidRPr="00EA2F26" w:rsidRDefault="00D02973" w:rsidP="00D02973">
      <w:r w:rsidRPr="00EA2F26">
        <w:t>Establishing meaningful useful lives for soft landscaping is challenging. With regard to Parks and Conservation Reserves, the nature of these assets is that with regular maintenance and replanting</w:t>
      </w:r>
      <w:r>
        <w:t>,</w:t>
      </w:r>
      <w:r w:rsidRPr="00EA2F26">
        <w:t xml:space="preserve"> they will maintain their integrity without having to renew the whole asset on a periodic basis.</w:t>
      </w:r>
    </w:p>
    <w:p w:rsidR="00D02973" w:rsidRPr="00EA2F26" w:rsidRDefault="00D02973" w:rsidP="00D02973">
      <w:r w:rsidRPr="00EA2F26">
        <w:t>The useful lives of street trees depend on a number of factors including species, location of planting, vicinity of overhead power lines and maintenance requirements. A particular tree may well be healthy with considerable growing life remaining</w:t>
      </w:r>
      <w:r>
        <w:t>,</w:t>
      </w:r>
      <w:r w:rsidRPr="00EA2F26">
        <w:t xml:space="preserve"> but reaches an inappropriate size for its location and/or too expensive or impractical to maintain shape and clearances. Of particular note is that around 60% of all street trees are impacted by overhead powerlines </w:t>
      </w:r>
      <w:r>
        <w:t>and most will</w:t>
      </w:r>
      <w:r w:rsidRPr="00EA2F26">
        <w:t xml:space="preserve"> potentially impact on footpaths. Adopted tree lives reflect the average “useful life” of street trees rather than total life expectancy.</w:t>
      </w:r>
    </w:p>
    <w:p w:rsidR="00D02973" w:rsidRPr="00EA2F26" w:rsidRDefault="00D02973" w:rsidP="00D02973">
      <w:r w:rsidRPr="00EA2F26">
        <w:t>Parks trees have similar issues to street trees, however their location is often less restrictive on growth and size patterns. These trees will often not be replaced until their health deteriorates or they become too maintenance intensive.</w:t>
      </w:r>
    </w:p>
    <w:p w:rsidR="00D02973" w:rsidRPr="00EA2F26" w:rsidRDefault="00D02973" w:rsidP="00D02973">
      <w:r w:rsidRPr="00EA2F26">
        <w:t>An assessment of remaining useful life of tr</w:t>
      </w:r>
      <w:r>
        <w:t>ees has been undertaken, with</w:t>
      </w:r>
      <w:r w:rsidRPr="00EA2F26">
        <w:t xml:space="preserve"> over 90% of all trees being assessed individually.  This assessment categorised all trees within four life expectancy </w:t>
      </w:r>
      <w:r w:rsidRPr="00EA2F26">
        <w:lastRenderedPageBreak/>
        <w:t xml:space="preserve">categories and indicated that 78% of </w:t>
      </w:r>
      <w:r>
        <w:t>Council</w:t>
      </w:r>
      <w:r w:rsidRPr="00EA2F26">
        <w:t xml:space="preserve"> trees had a life expectancy of 10 to 20 years. It does not however identify where the majority of trees sit within this 10 year period which (if they were all at the upper or lower end) could skew predicted renewal requirements significantly. Given this generates uncertainty when life expectancy is used in the model, the replacement of trees was not included in this generation </w:t>
      </w:r>
      <w:r>
        <w:t>of the R&amp;</w:t>
      </w:r>
      <w:r w:rsidRPr="00EA2F26">
        <w:t>OS-AMP</w:t>
      </w:r>
      <w:r>
        <w:t xml:space="preserve"> and remains a planning task that is required in the Improvement Plan</w:t>
      </w:r>
      <w:r w:rsidRPr="00EA2F26">
        <w:t xml:space="preserve">. </w:t>
      </w:r>
    </w:p>
    <w:p w:rsidR="00D02973" w:rsidRPr="00EA2F26" w:rsidRDefault="00D02973" w:rsidP="00D02973">
      <w:r w:rsidRPr="00EA2F26">
        <w:t xml:space="preserve">Asset lives for each asset group will be further examined in each Strategic Service Management Plan to ascertain what is relevant to that group of recreation and open space assets. </w:t>
      </w:r>
    </w:p>
    <w:p w:rsidR="00D02973" w:rsidRPr="00EA2F26" w:rsidRDefault="00D02973" w:rsidP="00D02973">
      <w:pPr>
        <w:pStyle w:val="Heading3"/>
        <w:spacing w:after="200"/>
        <w:rPr>
          <w:rFonts w:asciiTheme="minorHAnsi" w:hAnsiTheme="minorHAnsi"/>
          <w:color w:val="808080" w:themeColor="background1" w:themeShade="80"/>
        </w:rPr>
      </w:pPr>
      <w:bookmarkStart w:id="37" w:name="_Toc448475194"/>
      <w:r w:rsidRPr="00EA2F26">
        <w:rPr>
          <w:rFonts w:asciiTheme="minorHAnsi" w:hAnsiTheme="minorHAnsi"/>
          <w:color w:val="808080" w:themeColor="background1" w:themeShade="80"/>
        </w:rPr>
        <w:t xml:space="preserve">4.2.2 </w:t>
      </w:r>
      <w:r>
        <w:rPr>
          <w:rFonts w:asciiTheme="minorHAnsi" w:hAnsiTheme="minorHAnsi"/>
          <w:color w:val="808080" w:themeColor="background1" w:themeShade="80"/>
        </w:rPr>
        <w:tab/>
      </w:r>
      <w:r w:rsidRPr="00EA2F26">
        <w:rPr>
          <w:rFonts w:asciiTheme="minorHAnsi" w:hAnsiTheme="minorHAnsi"/>
          <w:color w:val="808080" w:themeColor="background1" w:themeShade="80"/>
        </w:rPr>
        <w:t>Age Profile</w:t>
      </w:r>
      <w:bookmarkEnd w:id="37"/>
    </w:p>
    <w:p w:rsidR="00D02973" w:rsidRPr="00EA2F26" w:rsidRDefault="00D02973" w:rsidP="00D02973">
      <w:r w:rsidRPr="00EA2F26">
        <w:t xml:space="preserve">The age profile for </w:t>
      </w:r>
      <w:r>
        <w:t>Council’s</w:t>
      </w:r>
      <w:r w:rsidRPr="00EA2F26">
        <w:t xml:space="preserve"> recreation and open space facilities is varied due to the range of assets included in this asset class, and also the quality of the data </w:t>
      </w:r>
      <w:r>
        <w:t>Council</w:t>
      </w:r>
      <w:r w:rsidRPr="00EA2F26">
        <w:t xml:space="preserve"> holds on these assets. In 2015</w:t>
      </w:r>
      <w:r>
        <w:t>,</w:t>
      </w:r>
      <w:r w:rsidRPr="00EA2F26">
        <w:t xml:space="preserve"> </w:t>
      </w:r>
      <w:r>
        <w:t>Council</w:t>
      </w:r>
      <w:r w:rsidRPr="00EA2F26">
        <w:t xml:space="preserve"> undertook an activity to investigate sporting facilities and playing fields</w:t>
      </w:r>
      <w:r w:rsidR="00015D85">
        <w:t xml:space="preserve"> on Council controlled land</w:t>
      </w:r>
      <w:r w:rsidRPr="00EA2F26">
        <w:t>. As part of th</w:t>
      </w:r>
      <w:r>
        <w:t>is activity, Council</w:t>
      </w:r>
      <w:r w:rsidRPr="00EA2F26">
        <w:t xml:space="preserve"> officers </w:t>
      </w:r>
      <w:r>
        <w:t>were</w:t>
      </w:r>
      <w:r w:rsidRPr="00EA2F26">
        <w:t xml:space="preserve"> consulted to review the available data on </w:t>
      </w:r>
      <w:r>
        <w:t xml:space="preserve">the </w:t>
      </w:r>
      <w:r w:rsidRPr="00EA2F26">
        <w:t xml:space="preserve">year of construction and </w:t>
      </w:r>
      <w:r>
        <w:t xml:space="preserve">the </w:t>
      </w:r>
      <w:r w:rsidRPr="00EA2F26">
        <w:t>remaining l</w:t>
      </w:r>
      <w:r>
        <w:t>ives of the assets. Figure 5</w:t>
      </w:r>
      <w:r w:rsidRPr="00EA2F26">
        <w:t xml:space="preserve"> below presents information collected. The average remaining life for each of these </w:t>
      </w:r>
      <w:r>
        <w:t>assets is approximately 56</w:t>
      </w:r>
      <w:r w:rsidRPr="00EA2F26">
        <w:t>%.</w:t>
      </w:r>
      <w:r>
        <w:t xml:space="preserve"> The remaining useful lives of associated infrastructure has yet to be determined and is a task captured in the Improvement Plan.</w:t>
      </w:r>
    </w:p>
    <w:p w:rsidR="00D02973" w:rsidRDefault="00D02973" w:rsidP="00D02973">
      <w:pPr>
        <w:rPr>
          <w:b/>
        </w:rPr>
      </w:pPr>
    </w:p>
    <w:p w:rsidR="00D02973" w:rsidRDefault="00D02973" w:rsidP="00D02973">
      <w:pPr>
        <w:rPr>
          <w:b/>
        </w:rPr>
      </w:pPr>
    </w:p>
    <w:p w:rsidR="00D02973" w:rsidRDefault="00D02973" w:rsidP="00D02973">
      <w:pPr>
        <w:rPr>
          <w:b/>
        </w:rPr>
      </w:pPr>
    </w:p>
    <w:p w:rsidR="00D02973" w:rsidRDefault="00D02973" w:rsidP="00D02973">
      <w:pPr>
        <w:rPr>
          <w:b/>
        </w:rPr>
      </w:pPr>
    </w:p>
    <w:p w:rsidR="00D02973" w:rsidRDefault="00D02973" w:rsidP="00D02973">
      <w:pPr>
        <w:rPr>
          <w:noProof/>
          <w:lang w:eastAsia="en-AU"/>
        </w:rPr>
      </w:pPr>
      <w:r>
        <w:rPr>
          <w:b/>
        </w:rPr>
        <w:t>Figure 5</w:t>
      </w:r>
      <w:r w:rsidRPr="00EA2F26">
        <w:rPr>
          <w:b/>
        </w:rPr>
        <w:t>. Playing Fields &amp; Facilities - Remainin</w:t>
      </w:r>
      <w:r>
        <w:rPr>
          <w:b/>
        </w:rPr>
        <w:t>g useful asset life</w:t>
      </w:r>
    </w:p>
    <w:p w:rsidR="00D02973" w:rsidRDefault="00D02973" w:rsidP="00D02973">
      <w:pPr>
        <w:rPr>
          <w:noProof/>
          <w:lang w:eastAsia="en-AU"/>
        </w:rPr>
      </w:pPr>
      <w:r>
        <w:rPr>
          <w:noProof/>
          <w:lang w:eastAsia="en-AU"/>
        </w:rPr>
        <w:lastRenderedPageBreak/>
        <w:drawing>
          <wp:inline distT="0" distB="0" distL="0" distR="0" wp14:anchorId="036AA81B" wp14:editId="2DBFD73F">
            <wp:extent cx="5732145" cy="3209925"/>
            <wp:effectExtent l="0" t="0" r="1905"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1457F" w:rsidRPr="0031457F" w:rsidRDefault="0031457F" w:rsidP="00D02973">
      <w:pPr>
        <w:rPr>
          <w:i/>
          <w:noProof/>
          <w:lang w:eastAsia="en-AU"/>
        </w:rPr>
      </w:pPr>
      <w:r w:rsidRPr="0031457F">
        <w:rPr>
          <w:i/>
          <w:noProof/>
          <w:lang w:eastAsia="en-AU"/>
        </w:rPr>
        <w:t>*All assets on Council controlled land – Council is not responsilble for all of the assets listed here.</w:t>
      </w:r>
    </w:p>
    <w:p w:rsidR="00D02973" w:rsidRPr="00DF2FAC" w:rsidRDefault="00D02973" w:rsidP="00D02973">
      <w:pPr>
        <w:pStyle w:val="Heading2"/>
        <w:spacing w:after="200"/>
        <w:rPr>
          <w:rFonts w:asciiTheme="minorHAnsi" w:hAnsiTheme="minorHAnsi"/>
          <w:color w:val="2E74B5" w:themeColor="accent1" w:themeShade="BF"/>
        </w:rPr>
      </w:pPr>
      <w:bookmarkStart w:id="38" w:name="_Toc448475195"/>
      <w:r w:rsidRPr="00DF2FAC">
        <w:rPr>
          <w:rFonts w:asciiTheme="minorHAnsi" w:hAnsiTheme="minorHAnsi"/>
          <w:color w:val="2E74B5" w:themeColor="accent1" w:themeShade="BF"/>
        </w:rPr>
        <w:t>4.3</w:t>
      </w:r>
      <w:r w:rsidRPr="00DF2FAC">
        <w:rPr>
          <w:rFonts w:asciiTheme="minorHAnsi" w:hAnsiTheme="minorHAnsi"/>
          <w:color w:val="2E74B5" w:themeColor="accent1" w:themeShade="BF"/>
        </w:rPr>
        <w:tab/>
        <w:t>Asset Condition</w:t>
      </w:r>
      <w:bookmarkEnd w:id="38"/>
    </w:p>
    <w:p w:rsidR="00D02973" w:rsidRPr="00EA2F26" w:rsidRDefault="00D02973" w:rsidP="00D02973">
      <w:pPr>
        <w:pStyle w:val="Heading3"/>
        <w:spacing w:after="200"/>
        <w:rPr>
          <w:rFonts w:asciiTheme="minorHAnsi" w:hAnsiTheme="minorHAnsi"/>
          <w:color w:val="808080" w:themeColor="background1" w:themeShade="80"/>
        </w:rPr>
      </w:pPr>
      <w:bookmarkStart w:id="39" w:name="_Toc448475196"/>
      <w:r w:rsidRPr="00EA2F26">
        <w:rPr>
          <w:rFonts w:asciiTheme="minorHAnsi" w:hAnsiTheme="minorHAnsi"/>
          <w:color w:val="808080" w:themeColor="background1" w:themeShade="80"/>
        </w:rPr>
        <w:t>4.3.1</w:t>
      </w:r>
      <w:r w:rsidRPr="00EA2F26">
        <w:rPr>
          <w:rFonts w:asciiTheme="minorHAnsi" w:hAnsiTheme="minorHAnsi"/>
          <w:color w:val="808080" w:themeColor="background1" w:themeShade="80"/>
        </w:rPr>
        <w:tab/>
        <w:t xml:space="preserve"> Lifecycle Condition Audit</w:t>
      </w:r>
      <w:bookmarkEnd w:id="39"/>
    </w:p>
    <w:p w:rsidR="00D02973" w:rsidRPr="00EA2F26" w:rsidRDefault="00D02973" w:rsidP="00D02973">
      <w:r w:rsidRPr="00EA2F26">
        <w:t xml:space="preserve">The </w:t>
      </w:r>
      <w:r>
        <w:t>m</w:t>
      </w:r>
      <w:r w:rsidRPr="00EA2F26">
        <w:t xml:space="preserve">aintenance </w:t>
      </w:r>
      <w:r>
        <w:t>c</w:t>
      </w:r>
      <w:r w:rsidRPr="00EA2F26">
        <w:t>ontractor conducts a two-y</w:t>
      </w:r>
      <w:r>
        <w:t>early Life Cycle Costing (LCC) a</w:t>
      </w:r>
      <w:r w:rsidRPr="00EA2F26">
        <w:t>udit on all recreation and open space assets</w:t>
      </w:r>
      <w:r w:rsidRPr="00EA2F26">
        <w:rPr>
          <w:rStyle w:val="FootnoteReference"/>
        </w:rPr>
        <w:footnoteReference w:id="8"/>
      </w:r>
      <w:r w:rsidRPr="00EA2F26">
        <w:t xml:space="preserve">, assigning assets a condition rating and remaining life estimate. This audit also includes an evaluation of asset compliance with current regulations. </w:t>
      </w:r>
      <w:r>
        <w:t>LCC</w:t>
      </w:r>
      <w:r w:rsidRPr="00EA2F26">
        <w:t xml:space="preserve"> audit results are used for long-term financial modelling purposes and in the development of Strategic Service Management Plans. </w:t>
      </w:r>
    </w:p>
    <w:p w:rsidR="00D02973" w:rsidRPr="00EA2F26" w:rsidRDefault="00D02973" w:rsidP="00D02973">
      <w:pPr>
        <w:pStyle w:val="Heading3"/>
        <w:spacing w:after="200"/>
        <w:rPr>
          <w:rFonts w:asciiTheme="minorHAnsi" w:hAnsiTheme="minorHAnsi"/>
          <w:color w:val="808080" w:themeColor="background1" w:themeShade="80"/>
        </w:rPr>
      </w:pPr>
      <w:bookmarkStart w:id="40" w:name="_Toc448475197"/>
      <w:r w:rsidRPr="00EA2F26">
        <w:rPr>
          <w:rFonts w:asciiTheme="minorHAnsi" w:hAnsiTheme="minorHAnsi"/>
          <w:color w:val="808080" w:themeColor="background1" w:themeShade="80"/>
        </w:rPr>
        <w:t xml:space="preserve">4.3.2 </w:t>
      </w:r>
      <w:r w:rsidRPr="00EA2F26">
        <w:rPr>
          <w:rFonts w:asciiTheme="minorHAnsi" w:hAnsiTheme="minorHAnsi"/>
          <w:color w:val="808080" w:themeColor="background1" w:themeShade="80"/>
        </w:rPr>
        <w:tab/>
        <w:t>Asset Condition Rating</w:t>
      </w:r>
      <w:bookmarkEnd w:id="40"/>
    </w:p>
    <w:p w:rsidR="00D02973" w:rsidRPr="00EA2F26" w:rsidRDefault="00D02973" w:rsidP="00D02973">
      <w:r w:rsidRPr="00EA2F26">
        <w:t xml:space="preserve">Appendix 4 provides the Condition Rating Scale used for open space assets. This is a 10 point scale where condition 0 represents a new asset while 10 is an asset with no remaining life. The 0-10 condition rating is applied to the key elements and this audit information is loaded into the AIM system and/or used to model and produce capital renewal programs. </w:t>
      </w:r>
    </w:p>
    <w:p w:rsidR="00D02973" w:rsidRPr="00520733" w:rsidRDefault="00D02973" w:rsidP="00D02973">
      <w:pPr>
        <w:pStyle w:val="Heading3"/>
        <w:spacing w:after="200"/>
        <w:rPr>
          <w:rFonts w:asciiTheme="minorHAnsi" w:hAnsiTheme="minorHAnsi"/>
          <w:color w:val="808080" w:themeColor="background1" w:themeShade="80"/>
        </w:rPr>
      </w:pPr>
      <w:bookmarkStart w:id="41" w:name="_Toc448475198"/>
      <w:r w:rsidRPr="00520733">
        <w:rPr>
          <w:rFonts w:asciiTheme="minorHAnsi" w:hAnsiTheme="minorHAnsi"/>
          <w:color w:val="808080" w:themeColor="background1" w:themeShade="80"/>
        </w:rPr>
        <w:t xml:space="preserve">4.3.3 </w:t>
      </w:r>
      <w:r w:rsidRPr="00520733">
        <w:rPr>
          <w:rFonts w:asciiTheme="minorHAnsi" w:hAnsiTheme="minorHAnsi"/>
          <w:color w:val="808080" w:themeColor="background1" w:themeShade="80"/>
        </w:rPr>
        <w:tab/>
        <w:t>Asset Condition</w:t>
      </w:r>
      <w:bookmarkEnd w:id="41"/>
    </w:p>
    <w:p w:rsidR="00D02973" w:rsidRPr="00EA2F26" w:rsidRDefault="00D02973" w:rsidP="00D02973">
      <w:pPr>
        <w:rPr>
          <w:bCs/>
        </w:rPr>
      </w:pPr>
      <w:r w:rsidRPr="00EA2F26">
        <w:rPr>
          <w:bCs/>
        </w:rPr>
        <w:t xml:space="preserve">The condition of recreation and open space data is presented in Figure 5 below in a 5 point scale from excellent to "past intervention point". Past intervention is defined as condition 8 and above, or beyond RICL described in </w:t>
      </w:r>
      <w:r>
        <w:rPr>
          <w:bCs/>
        </w:rPr>
        <w:t>Section 5.2 below.  Figure 6</w:t>
      </w:r>
      <w:r w:rsidRPr="00EA2F26">
        <w:rPr>
          <w:bCs/>
        </w:rPr>
        <w:t xml:space="preserve"> represents the recreation and open space asset condition data as presented in the Moloney model.  </w:t>
      </w:r>
    </w:p>
    <w:p w:rsidR="00D02973" w:rsidRDefault="00D02973" w:rsidP="00D02973">
      <w:pPr>
        <w:rPr>
          <w:bCs/>
        </w:rPr>
      </w:pPr>
      <w:r>
        <w:rPr>
          <w:bCs/>
        </w:rPr>
        <w:lastRenderedPageBreak/>
        <w:t xml:space="preserve">The foreshore, open space and recreation categories are the three primary asset groups. Ancillary assets are those used to provide access to these spaces and include ramps, stairs and pathways.  </w:t>
      </w:r>
    </w:p>
    <w:p w:rsidR="00D02973" w:rsidRPr="00EA2F26" w:rsidRDefault="00D02973" w:rsidP="00D02973">
      <w:pPr>
        <w:rPr>
          <w:b/>
          <w:bCs/>
        </w:rPr>
      </w:pPr>
      <w:r w:rsidRPr="00EA2F26">
        <w:rPr>
          <w:b/>
          <w:bCs/>
        </w:rPr>
        <w:t>F</w:t>
      </w:r>
      <w:r>
        <w:rPr>
          <w:b/>
          <w:bCs/>
        </w:rPr>
        <w:t>igure 6</w:t>
      </w:r>
      <w:r w:rsidRPr="00EA2F26">
        <w:rPr>
          <w:b/>
          <w:bCs/>
        </w:rPr>
        <w:t>.  Recreation and Open Space Condition Data</w:t>
      </w:r>
      <w:r w:rsidRPr="00EA2F26">
        <w:rPr>
          <w:rStyle w:val="FootnoteReference"/>
          <w:b/>
          <w:bCs/>
        </w:rPr>
        <w:footnoteReference w:id="9"/>
      </w:r>
      <w:r w:rsidRPr="00EA2F26">
        <w:rPr>
          <w:b/>
          <w:bCs/>
        </w:rPr>
        <w:t xml:space="preserve"> </w:t>
      </w:r>
    </w:p>
    <w:p w:rsidR="00D02973" w:rsidRPr="00EA2F26" w:rsidRDefault="00D02973" w:rsidP="00D02973">
      <w:pPr>
        <w:rPr>
          <w:rFonts w:eastAsiaTheme="majorEastAsia" w:cstheme="majorBidi"/>
          <w:b/>
          <w:bCs/>
          <w:color w:val="7F7F7F" w:themeColor="text1" w:themeTint="80"/>
          <w:sz w:val="26"/>
          <w:szCs w:val="26"/>
        </w:rPr>
      </w:pPr>
      <w:r>
        <w:rPr>
          <w:noProof/>
          <w:lang w:eastAsia="en-AU"/>
        </w:rPr>
        <w:drawing>
          <wp:inline distT="0" distB="0" distL="0" distR="0" wp14:anchorId="33B151A5" wp14:editId="349604E7">
            <wp:extent cx="4572000" cy="27432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02973" w:rsidRPr="00EA2F26" w:rsidRDefault="00D02973" w:rsidP="00D02973">
      <w:r w:rsidRPr="00EA2F26">
        <w:t>As shown in Figure 5 over 80% of Ancillary, Recreation and Open Space assets are in average to excellent</w:t>
      </w:r>
      <w:r>
        <w:t xml:space="preserve"> condition. For the F</w:t>
      </w:r>
      <w:r w:rsidRPr="00EA2F26">
        <w:t>oreshore assets approximately 60% of assets are from average to good condition.  Only a very small number of assets in any category are past intervention point</w:t>
      </w:r>
      <w:r>
        <w:t xml:space="preserve"> and addressed with annual renewal works</w:t>
      </w:r>
      <w:r w:rsidRPr="00EA2F26">
        <w:t xml:space="preserve">. </w:t>
      </w:r>
    </w:p>
    <w:p w:rsidR="00D02973" w:rsidRPr="00DF2FAC" w:rsidRDefault="00D02973" w:rsidP="00D02973">
      <w:pPr>
        <w:pStyle w:val="Heading2"/>
        <w:spacing w:after="200"/>
        <w:rPr>
          <w:rFonts w:asciiTheme="minorHAnsi" w:hAnsiTheme="minorHAnsi"/>
          <w:color w:val="2E74B5" w:themeColor="accent1" w:themeShade="BF"/>
        </w:rPr>
      </w:pPr>
      <w:bookmarkStart w:id="42" w:name="_Toc448475199"/>
      <w:r w:rsidRPr="00DF2FAC">
        <w:rPr>
          <w:rFonts w:asciiTheme="minorHAnsi" w:hAnsiTheme="minorHAnsi"/>
          <w:color w:val="2E74B5" w:themeColor="accent1" w:themeShade="BF"/>
        </w:rPr>
        <w:t>4.4</w:t>
      </w:r>
      <w:r w:rsidRPr="00DF2FAC">
        <w:rPr>
          <w:rFonts w:asciiTheme="minorHAnsi" w:hAnsiTheme="minorHAnsi"/>
          <w:color w:val="2E74B5" w:themeColor="accent1" w:themeShade="BF"/>
        </w:rPr>
        <w:tab/>
        <w:t>Risk Identification</w:t>
      </w:r>
      <w:bookmarkEnd w:id="42"/>
    </w:p>
    <w:p w:rsidR="00D02973" w:rsidRPr="00EA2F26" w:rsidRDefault="00D02973" w:rsidP="00D02973">
      <w:r>
        <w:t>Council</w:t>
      </w:r>
      <w:r w:rsidRPr="00EA2F26">
        <w:t xml:space="preserve">’s Risk Management Process is an integral part of best practice asset management. The application of sound risk management allows for continual improvement in decision making and processes and is an essential consideration in determining appropriate levels of service. </w:t>
      </w:r>
    </w:p>
    <w:p w:rsidR="00D02973" w:rsidRPr="00EA2F26" w:rsidRDefault="00D02973" w:rsidP="00D02973">
      <w:r w:rsidRPr="00EA2F26">
        <w:t>Key risk issues for open space and recreation Assets include:</w:t>
      </w:r>
    </w:p>
    <w:p w:rsidR="00D02973" w:rsidRPr="00EA2F26" w:rsidRDefault="00D02973" w:rsidP="00D02973">
      <w:pPr>
        <w:pStyle w:val="ListParagraph"/>
        <w:numPr>
          <w:ilvl w:val="0"/>
          <w:numId w:val="18"/>
        </w:numPr>
      </w:pPr>
      <w:r w:rsidRPr="00EA2F26">
        <w:t>Hazardous or defective trees;</w:t>
      </w:r>
    </w:p>
    <w:p w:rsidR="00D02973" w:rsidRPr="00EA2F26" w:rsidRDefault="00D02973" w:rsidP="00D02973">
      <w:pPr>
        <w:pStyle w:val="ListParagraph"/>
        <w:numPr>
          <w:ilvl w:val="0"/>
          <w:numId w:val="18"/>
        </w:numPr>
      </w:pPr>
      <w:r w:rsidRPr="00EA2F26">
        <w:t>Unsafe sports facility surfaces;</w:t>
      </w:r>
    </w:p>
    <w:p w:rsidR="00D02973" w:rsidRPr="00EA2F26" w:rsidRDefault="00D02973" w:rsidP="00D02973">
      <w:pPr>
        <w:pStyle w:val="ListParagraph"/>
        <w:numPr>
          <w:ilvl w:val="0"/>
          <w:numId w:val="18"/>
        </w:numPr>
      </w:pPr>
      <w:r w:rsidRPr="00EA2F26">
        <w:t>Defective infrastructure in parks and reserves;</w:t>
      </w:r>
    </w:p>
    <w:p w:rsidR="00D02973" w:rsidRPr="00EA2F26" w:rsidRDefault="00D02973" w:rsidP="00D02973">
      <w:pPr>
        <w:pStyle w:val="ListParagraph"/>
        <w:numPr>
          <w:ilvl w:val="0"/>
          <w:numId w:val="18"/>
        </w:numPr>
      </w:pPr>
      <w:r w:rsidRPr="00EA2F26">
        <w:t xml:space="preserve">Uneven or damaged surfaces where </w:t>
      </w:r>
      <w:r>
        <w:t>walking, running</w:t>
      </w:r>
      <w:r w:rsidRPr="00EA2F26">
        <w:t xml:space="preserve"> or cycling use is likely (includes formed pathways and other natural surfaces;</w:t>
      </w:r>
    </w:p>
    <w:p w:rsidR="00D02973" w:rsidRPr="00EA2F26" w:rsidRDefault="00D02973" w:rsidP="00D02973">
      <w:pPr>
        <w:pStyle w:val="ListParagraph"/>
        <w:numPr>
          <w:ilvl w:val="0"/>
          <w:numId w:val="18"/>
        </w:numPr>
      </w:pPr>
      <w:r w:rsidRPr="00EA2F26">
        <w:t>Defective playground equipment and/or softfall; and</w:t>
      </w:r>
    </w:p>
    <w:p w:rsidR="00D02973" w:rsidRPr="00EA2F26" w:rsidRDefault="00D02973" w:rsidP="00D02973">
      <w:pPr>
        <w:pStyle w:val="ListParagraph"/>
        <w:numPr>
          <w:ilvl w:val="0"/>
          <w:numId w:val="18"/>
        </w:numPr>
      </w:pPr>
      <w:r w:rsidRPr="00EA2F26">
        <w:t>Fire risk in conservation and foreshore reserves;</w:t>
      </w:r>
    </w:p>
    <w:p w:rsidR="00D02973" w:rsidRPr="00EA2F26" w:rsidRDefault="00D02973" w:rsidP="00D02973">
      <w:r w:rsidRPr="00EA2F26">
        <w:t xml:space="preserve">It is not possible for </w:t>
      </w:r>
      <w:r>
        <w:t>Council</w:t>
      </w:r>
      <w:r w:rsidRPr="00EA2F26">
        <w:t xml:space="preserve"> to address all defects and eliminate all risks</w:t>
      </w:r>
      <w:r>
        <w:t>,</w:t>
      </w:r>
      <w:r w:rsidRPr="00EA2F26">
        <w:t xml:space="preserve"> however they are being minimised by undertaking inspections to identify risks.</w:t>
      </w:r>
      <w:bookmarkStart w:id="43" w:name="_Toc279050842"/>
    </w:p>
    <w:p w:rsidR="00D02973" w:rsidRPr="00DF2FAC" w:rsidRDefault="00D02973" w:rsidP="00D02973">
      <w:pPr>
        <w:pStyle w:val="Heading2"/>
        <w:spacing w:after="200"/>
        <w:rPr>
          <w:rFonts w:asciiTheme="minorHAnsi" w:hAnsiTheme="minorHAnsi"/>
          <w:color w:val="2E74B5" w:themeColor="accent1" w:themeShade="BF"/>
        </w:rPr>
      </w:pPr>
      <w:bookmarkStart w:id="44" w:name="_Toc448475200"/>
      <w:r w:rsidRPr="00DF2FAC">
        <w:rPr>
          <w:rFonts w:asciiTheme="minorHAnsi" w:hAnsiTheme="minorHAnsi"/>
          <w:color w:val="2E74B5" w:themeColor="accent1" w:themeShade="BF"/>
        </w:rPr>
        <w:lastRenderedPageBreak/>
        <w:t>4.5</w:t>
      </w:r>
      <w:r w:rsidRPr="00DF2FAC">
        <w:rPr>
          <w:rFonts w:asciiTheme="minorHAnsi" w:hAnsiTheme="minorHAnsi"/>
          <w:color w:val="2E74B5" w:themeColor="accent1" w:themeShade="BF"/>
        </w:rPr>
        <w:tab/>
        <w:t>Asset Data Storage Systems</w:t>
      </w:r>
      <w:bookmarkEnd w:id="44"/>
    </w:p>
    <w:p w:rsidR="00D02973" w:rsidRPr="00EA2F26" w:rsidRDefault="00D02973" w:rsidP="00D02973">
      <w:pPr>
        <w:pStyle w:val="CTAMPBody"/>
        <w:spacing w:after="200" w:line="276" w:lineRule="auto"/>
        <w:rPr>
          <w:rFonts w:asciiTheme="minorHAnsi" w:eastAsiaTheme="minorHAnsi" w:hAnsiTheme="minorHAnsi" w:cstheme="minorBidi"/>
          <w:sz w:val="22"/>
          <w:szCs w:val="22"/>
        </w:rPr>
      </w:pPr>
      <w:r w:rsidRPr="00EA2F26">
        <w:rPr>
          <w:rFonts w:asciiTheme="minorHAnsi" w:eastAsiaTheme="minorHAnsi" w:hAnsiTheme="minorHAnsi" w:cstheme="minorBidi"/>
          <w:sz w:val="22"/>
          <w:szCs w:val="22"/>
        </w:rPr>
        <w:t xml:space="preserve">Bayside City </w:t>
      </w:r>
      <w:r>
        <w:rPr>
          <w:rFonts w:asciiTheme="minorHAnsi" w:eastAsiaTheme="minorHAnsi" w:hAnsiTheme="minorHAnsi" w:cstheme="minorBidi"/>
          <w:sz w:val="22"/>
          <w:szCs w:val="22"/>
        </w:rPr>
        <w:t>Council</w:t>
      </w:r>
      <w:r w:rsidRPr="00EA2F26">
        <w:rPr>
          <w:rFonts w:asciiTheme="minorHAnsi" w:eastAsiaTheme="minorHAnsi" w:hAnsiTheme="minorHAnsi" w:cstheme="minorBidi"/>
          <w:sz w:val="22"/>
          <w:szCs w:val="22"/>
        </w:rPr>
        <w:t xml:space="preserve"> uses Civica SAM as the asset register for recreation and open space asset data. This database stores a range of asset attribute data. Recreation and open space asset data is also stored in the CVR and GIS. There is currently a project underway to align the asset data in these systems as per the Improvement Plan in Section 7.1.</w:t>
      </w:r>
    </w:p>
    <w:p w:rsidR="00D02973" w:rsidRPr="00EA2F26" w:rsidRDefault="00D02973" w:rsidP="00D02973">
      <w:pPr>
        <w:pStyle w:val="CTAMPBody"/>
        <w:spacing w:after="200" w:line="276" w:lineRule="auto"/>
        <w:rPr>
          <w:rFonts w:asciiTheme="minorHAnsi" w:eastAsiaTheme="minorHAnsi" w:hAnsiTheme="minorHAnsi" w:cstheme="minorBidi"/>
          <w:sz w:val="22"/>
          <w:szCs w:val="22"/>
        </w:rPr>
      </w:pPr>
      <w:r w:rsidRPr="00EA2F26">
        <w:rPr>
          <w:rFonts w:asciiTheme="minorHAnsi" w:eastAsiaTheme="minorHAnsi" w:hAnsiTheme="minorHAnsi" w:cstheme="minorBidi"/>
          <w:sz w:val="22"/>
          <w:szCs w:val="22"/>
        </w:rPr>
        <w:t xml:space="preserve">The Moloney Modelling System is currently being utilised to determine the future funding levels for renewal of </w:t>
      </w:r>
      <w:r>
        <w:rPr>
          <w:rFonts w:asciiTheme="minorHAnsi" w:eastAsiaTheme="minorHAnsi" w:hAnsiTheme="minorHAnsi" w:cstheme="minorBidi"/>
          <w:sz w:val="22"/>
          <w:szCs w:val="22"/>
        </w:rPr>
        <w:t>Council</w:t>
      </w:r>
      <w:r w:rsidRPr="00EA2F26">
        <w:rPr>
          <w:rFonts w:asciiTheme="minorHAnsi" w:eastAsiaTheme="minorHAnsi" w:hAnsiTheme="minorHAnsi" w:cstheme="minorBidi"/>
          <w:sz w:val="22"/>
          <w:szCs w:val="22"/>
        </w:rPr>
        <w:t xml:space="preserve"> assets. Ongoing analysis and predictive modelling is required to define the assumptions and forecasts provided in this plan.</w:t>
      </w:r>
    </w:p>
    <w:p w:rsidR="00D02973" w:rsidRPr="00DF2FAC" w:rsidRDefault="00D02973" w:rsidP="00D02973">
      <w:pPr>
        <w:pStyle w:val="Heading2"/>
        <w:spacing w:after="200"/>
        <w:rPr>
          <w:rFonts w:asciiTheme="minorHAnsi" w:hAnsiTheme="minorHAnsi"/>
          <w:color w:val="2E74B5" w:themeColor="accent1" w:themeShade="BF"/>
        </w:rPr>
      </w:pPr>
      <w:bookmarkStart w:id="45" w:name="_Toc448475201"/>
      <w:r w:rsidRPr="00DF2FAC">
        <w:rPr>
          <w:rFonts w:asciiTheme="minorHAnsi" w:hAnsiTheme="minorHAnsi"/>
          <w:color w:val="2E74B5" w:themeColor="accent1" w:themeShade="BF"/>
        </w:rPr>
        <w:t>4.6</w:t>
      </w:r>
      <w:r w:rsidRPr="00DF2FAC">
        <w:rPr>
          <w:rFonts w:asciiTheme="minorHAnsi" w:hAnsiTheme="minorHAnsi"/>
          <w:color w:val="2E74B5" w:themeColor="accent1" w:themeShade="BF"/>
        </w:rPr>
        <w:tab/>
        <w:t>Operations and Maintenance</w:t>
      </w:r>
      <w:bookmarkEnd w:id="45"/>
    </w:p>
    <w:p w:rsidR="00D02973" w:rsidRPr="00EA2F26" w:rsidRDefault="00D02973" w:rsidP="00D02973">
      <w:pPr>
        <w:pStyle w:val="Heading3"/>
        <w:spacing w:after="200"/>
        <w:rPr>
          <w:rFonts w:asciiTheme="minorHAnsi" w:hAnsiTheme="minorHAnsi"/>
          <w:color w:val="7F7F7F" w:themeColor="text1" w:themeTint="80"/>
        </w:rPr>
      </w:pPr>
      <w:bookmarkStart w:id="46" w:name="_Toc448475202"/>
      <w:r w:rsidRPr="00EA2F26">
        <w:rPr>
          <w:rFonts w:asciiTheme="minorHAnsi" w:hAnsiTheme="minorHAnsi"/>
          <w:color w:val="7F7F7F" w:themeColor="text1" w:themeTint="80"/>
        </w:rPr>
        <w:t>4.6.1</w:t>
      </w:r>
      <w:r w:rsidRPr="00EA2F26">
        <w:rPr>
          <w:rFonts w:asciiTheme="minorHAnsi" w:hAnsiTheme="minorHAnsi"/>
          <w:color w:val="7F7F7F" w:themeColor="text1" w:themeTint="80"/>
        </w:rPr>
        <w:tab/>
        <w:t>Maintenance Arrangements</w:t>
      </w:r>
      <w:bookmarkEnd w:id="46"/>
    </w:p>
    <w:p w:rsidR="00D02973" w:rsidRPr="00EA2F26" w:rsidRDefault="00D02973" w:rsidP="00D02973">
      <w:pPr>
        <w:autoSpaceDE w:val="0"/>
        <w:autoSpaceDN w:val="0"/>
        <w:adjustRightInd w:val="0"/>
        <w:rPr>
          <w:rFonts w:cs="Calibri"/>
          <w:color w:val="BF8F00" w:themeColor="accent4" w:themeShade="BF"/>
        </w:rPr>
      </w:pPr>
      <w:r>
        <w:t>Effective</w:t>
      </w:r>
      <w:r w:rsidRPr="00EA2F26">
        <w:t xml:space="preserve"> maintenance strategies are essential to ensure that an asset performs at the desired service level on a day to day basis. </w:t>
      </w:r>
      <w:r w:rsidRPr="00EA2F26">
        <w:rPr>
          <w:rFonts w:cs="Calibri"/>
        </w:rPr>
        <w:t>Typical maintenance activities undertaken in relation to recreation and open space assets 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5"/>
        <w:gridCol w:w="5182"/>
      </w:tblGrid>
      <w:tr w:rsidR="00D02973" w:rsidRPr="00EA2F26" w:rsidTr="00DF2FAC">
        <w:tc>
          <w:tcPr>
            <w:tcW w:w="3936" w:type="dxa"/>
          </w:tcPr>
          <w:p w:rsidR="00D02973" w:rsidRPr="00EA2F26" w:rsidRDefault="00D02973" w:rsidP="00D02973">
            <w:pPr>
              <w:pStyle w:val="ListParagraph"/>
              <w:numPr>
                <w:ilvl w:val="0"/>
                <w:numId w:val="12"/>
              </w:numPr>
              <w:autoSpaceDE w:val="0"/>
              <w:autoSpaceDN w:val="0"/>
              <w:adjustRightInd w:val="0"/>
              <w:spacing w:after="0"/>
              <w:rPr>
                <w:rFonts w:cs="Calibri"/>
              </w:rPr>
            </w:pPr>
            <w:r w:rsidRPr="00EA2F26">
              <w:rPr>
                <w:rFonts w:cs="Calibri"/>
              </w:rPr>
              <w:t xml:space="preserve">Turf management </w:t>
            </w:r>
          </w:p>
        </w:tc>
        <w:tc>
          <w:tcPr>
            <w:tcW w:w="5350" w:type="dxa"/>
          </w:tcPr>
          <w:p w:rsidR="00D02973" w:rsidRPr="00EA2F26" w:rsidRDefault="00D02973" w:rsidP="00D02973">
            <w:pPr>
              <w:pStyle w:val="ListParagraph"/>
              <w:numPr>
                <w:ilvl w:val="0"/>
                <w:numId w:val="12"/>
              </w:numPr>
              <w:autoSpaceDE w:val="0"/>
              <w:autoSpaceDN w:val="0"/>
              <w:adjustRightInd w:val="0"/>
              <w:spacing w:after="0"/>
              <w:rPr>
                <w:rFonts w:cs="Calibri"/>
              </w:rPr>
            </w:pPr>
            <w:r w:rsidRPr="00EA2F26">
              <w:rPr>
                <w:rFonts w:cs="Calibri"/>
              </w:rPr>
              <w:t xml:space="preserve">Garden bed maintenance </w:t>
            </w:r>
          </w:p>
        </w:tc>
      </w:tr>
      <w:tr w:rsidR="00D02973" w:rsidRPr="00EA2F26" w:rsidTr="00DF2FAC">
        <w:tc>
          <w:tcPr>
            <w:tcW w:w="3936" w:type="dxa"/>
          </w:tcPr>
          <w:p w:rsidR="00D02973" w:rsidRPr="00EA2F26" w:rsidRDefault="00D02973" w:rsidP="00D02973">
            <w:pPr>
              <w:pStyle w:val="ListParagraph"/>
              <w:numPr>
                <w:ilvl w:val="0"/>
                <w:numId w:val="12"/>
              </w:numPr>
              <w:autoSpaceDE w:val="0"/>
              <w:autoSpaceDN w:val="0"/>
              <w:adjustRightInd w:val="0"/>
              <w:spacing w:after="0"/>
              <w:rPr>
                <w:rFonts w:cs="Calibri"/>
              </w:rPr>
            </w:pPr>
            <w:r w:rsidRPr="00EA2F26">
              <w:rPr>
                <w:rFonts w:cs="Calibri"/>
              </w:rPr>
              <w:t xml:space="preserve">Turf wicket maintenance </w:t>
            </w:r>
          </w:p>
        </w:tc>
        <w:tc>
          <w:tcPr>
            <w:tcW w:w="5350" w:type="dxa"/>
          </w:tcPr>
          <w:p w:rsidR="00D02973" w:rsidRPr="00EA2F26" w:rsidRDefault="00D02973" w:rsidP="00D02973">
            <w:pPr>
              <w:pStyle w:val="ListParagraph"/>
              <w:numPr>
                <w:ilvl w:val="0"/>
                <w:numId w:val="12"/>
              </w:numPr>
              <w:autoSpaceDE w:val="0"/>
              <w:autoSpaceDN w:val="0"/>
              <w:adjustRightInd w:val="0"/>
              <w:spacing w:after="0"/>
              <w:rPr>
                <w:rFonts w:cs="Calibri"/>
              </w:rPr>
            </w:pPr>
            <w:r w:rsidRPr="00EA2F26">
              <w:rPr>
                <w:rFonts w:cs="Calibri"/>
              </w:rPr>
              <w:t>Tree pruning including power line clearance</w:t>
            </w:r>
          </w:p>
        </w:tc>
      </w:tr>
      <w:tr w:rsidR="00D02973" w:rsidRPr="00EA2F26" w:rsidTr="00DF2FAC">
        <w:tc>
          <w:tcPr>
            <w:tcW w:w="3936" w:type="dxa"/>
          </w:tcPr>
          <w:p w:rsidR="00D02973" w:rsidRPr="00EA2F26" w:rsidRDefault="00D02973" w:rsidP="00D02973">
            <w:pPr>
              <w:pStyle w:val="ListParagraph"/>
              <w:numPr>
                <w:ilvl w:val="0"/>
                <w:numId w:val="12"/>
              </w:numPr>
              <w:autoSpaceDE w:val="0"/>
              <w:autoSpaceDN w:val="0"/>
              <w:adjustRightInd w:val="0"/>
              <w:spacing w:after="0"/>
              <w:rPr>
                <w:rFonts w:cs="Calibri"/>
              </w:rPr>
            </w:pPr>
            <w:r w:rsidRPr="00EA2F26">
              <w:rPr>
                <w:rFonts w:cs="Calibri"/>
              </w:rPr>
              <w:t xml:space="preserve">Nursery Services </w:t>
            </w:r>
          </w:p>
        </w:tc>
        <w:tc>
          <w:tcPr>
            <w:tcW w:w="5350" w:type="dxa"/>
          </w:tcPr>
          <w:p w:rsidR="00D02973" w:rsidRPr="00EA2F26" w:rsidRDefault="00D02973" w:rsidP="00D02973">
            <w:pPr>
              <w:pStyle w:val="ListParagraph"/>
              <w:numPr>
                <w:ilvl w:val="0"/>
                <w:numId w:val="12"/>
              </w:numPr>
              <w:autoSpaceDE w:val="0"/>
              <w:autoSpaceDN w:val="0"/>
              <w:adjustRightInd w:val="0"/>
              <w:spacing w:after="0"/>
              <w:rPr>
                <w:rFonts w:cs="Calibri"/>
              </w:rPr>
            </w:pPr>
            <w:r w:rsidRPr="00EA2F26">
              <w:rPr>
                <w:rFonts w:cs="Calibri"/>
              </w:rPr>
              <w:t>Tree removal and planting</w:t>
            </w:r>
          </w:p>
        </w:tc>
      </w:tr>
      <w:tr w:rsidR="00D02973" w:rsidRPr="00EA2F26" w:rsidTr="00DF2FAC">
        <w:tc>
          <w:tcPr>
            <w:tcW w:w="3936" w:type="dxa"/>
          </w:tcPr>
          <w:p w:rsidR="00D02973" w:rsidRPr="00EA2F26" w:rsidRDefault="00D02973" w:rsidP="00D02973">
            <w:pPr>
              <w:pStyle w:val="ListParagraph"/>
              <w:numPr>
                <w:ilvl w:val="0"/>
                <w:numId w:val="12"/>
              </w:numPr>
              <w:autoSpaceDE w:val="0"/>
              <w:autoSpaceDN w:val="0"/>
              <w:adjustRightInd w:val="0"/>
              <w:spacing w:after="0"/>
              <w:rPr>
                <w:rFonts w:cs="Calibri"/>
              </w:rPr>
            </w:pPr>
            <w:r w:rsidRPr="00EA2F26">
              <w:rPr>
                <w:rFonts w:cs="Calibri"/>
              </w:rPr>
              <w:t xml:space="preserve">Playground maintenance </w:t>
            </w:r>
          </w:p>
        </w:tc>
        <w:tc>
          <w:tcPr>
            <w:tcW w:w="5350" w:type="dxa"/>
          </w:tcPr>
          <w:p w:rsidR="00D02973" w:rsidRPr="00EA2F26" w:rsidRDefault="00D02973" w:rsidP="00D02973">
            <w:pPr>
              <w:pStyle w:val="ListParagraph"/>
              <w:numPr>
                <w:ilvl w:val="0"/>
                <w:numId w:val="12"/>
              </w:numPr>
              <w:autoSpaceDE w:val="0"/>
              <w:autoSpaceDN w:val="0"/>
              <w:adjustRightInd w:val="0"/>
              <w:spacing w:after="0"/>
              <w:rPr>
                <w:rFonts w:cs="Calibri"/>
              </w:rPr>
            </w:pPr>
            <w:r w:rsidRPr="00EA2F26">
              <w:rPr>
                <w:rFonts w:cs="Calibri"/>
              </w:rPr>
              <w:t xml:space="preserve">Sign inspection and cleaning </w:t>
            </w:r>
          </w:p>
        </w:tc>
      </w:tr>
      <w:tr w:rsidR="00D02973" w:rsidRPr="00EA2F26" w:rsidTr="00DF2FAC">
        <w:tc>
          <w:tcPr>
            <w:tcW w:w="3936" w:type="dxa"/>
          </w:tcPr>
          <w:p w:rsidR="00D02973" w:rsidRPr="00EA2F26" w:rsidRDefault="00D02973" w:rsidP="00D02973">
            <w:pPr>
              <w:pStyle w:val="ListParagraph"/>
              <w:numPr>
                <w:ilvl w:val="0"/>
                <w:numId w:val="12"/>
              </w:numPr>
              <w:autoSpaceDE w:val="0"/>
              <w:autoSpaceDN w:val="0"/>
              <w:adjustRightInd w:val="0"/>
              <w:spacing w:after="0"/>
              <w:rPr>
                <w:rFonts w:cs="Calibri"/>
              </w:rPr>
            </w:pPr>
            <w:r w:rsidRPr="00EA2F26">
              <w:rPr>
                <w:rFonts w:cs="Calibri"/>
              </w:rPr>
              <w:t xml:space="preserve">Safety inspections and audits </w:t>
            </w:r>
          </w:p>
        </w:tc>
        <w:tc>
          <w:tcPr>
            <w:tcW w:w="5350" w:type="dxa"/>
          </w:tcPr>
          <w:p w:rsidR="00D02973" w:rsidRPr="00EA2F26" w:rsidRDefault="00D02973" w:rsidP="00D02973">
            <w:pPr>
              <w:pStyle w:val="ListParagraph"/>
              <w:numPr>
                <w:ilvl w:val="0"/>
                <w:numId w:val="12"/>
              </w:numPr>
              <w:autoSpaceDE w:val="0"/>
              <w:autoSpaceDN w:val="0"/>
              <w:adjustRightInd w:val="0"/>
              <w:spacing w:after="0"/>
              <w:rPr>
                <w:rFonts w:cs="Calibri"/>
              </w:rPr>
            </w:pPr>
            <w:r w:rsidRPr="00EA2F26">
              <w:rPr>
                <w:rFonts w:cs="Calibri"/>
              </w:rPr>
              <w:t xml:space="preserve">Beach cleaning </w:t>
            </w:r>
          </w:p>
        </w:tc>
      </w:tr>
      <w:tr w:rsidR="00D02973" w:rsidRPr="00EA2F26" w:rsidTr="00DF2FAC">
        <w:tc>
          <w:tcPr>
            <w:tcW w:w="3936" w:type="dxa"/>
          </w:tcPr>
          <w:p w:rsidR="00D02973" w:rsidRPr="00EA2F26" w:rsidRDefault="00D02973" w:rsidP="00D02973">
            <w:pPr>
              <w:pStyle w:val="ListParagraph"/>
              <w:numPr>
                <w:ilvl w:val="0"/>
                <w:numId w:val="12"/>
              </w:numPr>
              <w:autoSpaceDE w:val="0"/>
              <w:autoSpaceDN w:val="0"/>
              <w:adjustRightInd w:val="0"/>
              <w:spacing w:after="0"/>
              <w:rPr>
                <w:rFonts w:cs="Calibri"/>
              </w:rPr>
            </w:pPr>
            <w:r w:rsidRPr="00EA2F26">
              <w:rPr>
                <w:rFonts w:cs="Calibri"/>
              </w:rPr>
              <w:t xml:space="preserve">Furniture cleaning and maintenance </w:t>
            </w:r>
          </w:p>
        </w:tc>
        <w:tc>
          <w:tcPr>
            <w:tcW w:w="5350" w:type="dxa"/>
          </w:tcPr>
          <w:p w:rsidR="00D02973" w:rsidRPr="00EA2F26" w:rsidRDefault="00D02973" w:rsidP="00D02973">
            <w:pPr>
              <w:pStyle w:val="ListParagraph"/>
              <w:numPr>
                <w:ilvl w:val="0"/>
                <w:numId w:val="12"/>
              </w:numPr>
              <w:autoSpaceDE w:val="0"/>
              <w:autoSpaceDN w:val="0"/>
              <w:adjustRightInd w:val="0"/>
              <w:spacing w:after="0"/>
              <w:rPr>
                <w:rFonts w:cs="Calibri"/>
              </w:rPr>
            </w:pPr>
            <w:r w:rsidRPr="00EA2F26">
              <w:rPr>
                <w:rFonts w:cs="Calibri"/>
              </w:rPr>
              <w:t xml:space="preserve">Litter Collection </w:t>
            </w:r>
          </w:p>
        </w:tc>
      </w:tr>
    </w:tbl>
    <w:p w:rsidR="00D02973" w:rsidRPr="00EA2F26" w:rsidRDefault="00D02973" w:rsidP="00D02973">
      <w:pPr>
        <w:rPr>
          <w:rFonts w:cs="Calibri"/>
          <w:color w:val="BF8F00" w:themeColor="accent4" w:themeShade="BF"/>
        </w:rPr>
      </w:pPr>
    </w:p>
    <w:p w:rsidR="00D02973" w:rsidRPr="00EA2F26" w:rsidRDefault="00D02973" w:rsidP="00D02973">
      <w:r>
        <w:t>Council</w:t>
      </w:r>
      <w:r w:rsidRPr="00EA2F26">
        <w:t xml:space="preserve"> has entered into two contract</w:t>
      </w:r>
      <w:r>
        <w:t>s</w:t>
      </w:r>
      <w:r w:rsidRPr="00EA2F26">
        <w:t xml:space="preserve"> for its recreation and open space maintenance services. </w:t>
      </w:r>
    </w:p>
    <w:p w:rsidR="00D02973" w:rsidRPr="00EA2F26" w:rsidRDefault="00D02973" w:rsidP="00D02973">
      <w:r w:rsidRPr="00A9004D">
        <w:t xml:space="preserve">The </w:t>
      </w:r>
      <w:r w:rsidRPr="00A9004D">
        <w:rPr>
          <w:bCs/>
        </w:rPr>
        <w:t xml:space="preserve">Management and Maintenance of Open Space and Trees Contract </w:t>
      </w:r>
      <w:r w:rsidRPr="00A9004D">
        <w:t>commenced in July 2009</w:t>
      </w:r>
      <w:r>
        <w:t>, ending in 2019</w:t>
      </w:r>
      <w:r w:rsidRPr="00A9004D">
        <w:t>.</w:t>
      </w:r>
      <w:r w:rsidRPr="00EA2F26">
        <w:t xml:space="preserve"> The Contract specification comprises the maintenance, management and coordination of works under this contract which are associated with </w:t>
      </w:r>
      <w:r>
        <w:t>Council</w:t>
      </w:r>
      <w:r w:rsidRPr="00EA2F26">
        <w:t>’s recreation and open spaces and other assets. Ad hoc minor capital works are also required to be delivered. The Contractor is also required to provide</w:t>
      </w:r>
      <w:r>
        <w:t xml:space="preserve"> </w:t>
      </w:r>
      <w:r w:rsidRPr="00EA2F26">
        <w:t xml:space="preserve">assistance in the implementation of the strategies resolved by </w:t>
      </w:r>
      <w:r>
        <w:t>Council</w:t>
      </w:r>
      <w:r w:rsidRPr="00EA2F26">
        <w:t xml:space="preserve"> during the Contract Period for the operation and enhancement of those assets. </w:t>
      </w:r>
    </w:p>
    <w:p w:rsidR="00D02973" w:rsidRPr="00EA2F26" w:rsidRDefault="00D02973" w:rsidP="00D02973">
      <w:r w:rsidRPr="00A9004D">
        <w:t xml:space="preserve">The </w:t>
      </w:r>
      <w:r w:rsidRPr="00A9004D">
        <w:rPr>
          <w:bCs/>
        </w:rPr>
        <w:t xml:space="preserve">Amenities, Bins and Beach Cleaning Services Contract </w:t>
      </w:r>
      <w:r w:rsidRPr="00A9004D">
        <w:t xml:space="preserve">commenced in January 2009 and also </w:t>
      </w:r>
      <w:r>
        <w:t>ends in 2019</w:t>
      </w:r>
      <w:r w:rsidRPr="00A9004D">
        <w:t>.</w:t>
      </w:r>
    </w:p>
    <w:p w:rsidR="00D02973" w:rsidRDefault="00D02973" w:rsidP="00D02973">
      <w:r w:rsidRPr="00EA2F26">
        <w:t xml:space="preserve">The following Table shows the responsibility split between </w:t>
      </w:r>
      <w:r>
        <w:t>Council</w:t>
      </w:r>
      <w:r w:rsidRPr="00EA2F26">
        <w:t xml:space="preserve"> and Contractor and also the objectives of the contracts.</w:t>
      </w:r>
    </w:p>
    <w:p w:rsidR="00D02973" w:rsidRPr="00EA2F26" w:rsidRDefault="00D02973" w:rsidP="00D02973">
      <w:pPr>
        <w:rPr>
          <w:b/>
          <w:bCs/>
        </w:rPr>
      </w:pPr>
      <w:r w:rsidRPr="00EA2F26">
        <w:rPr>
          <w:b/>
          <w:bCs/>
        </w:rPr>
        <w:t xml:space="preserve">Table 5: Responsibility Arrangements – </w:t>
      </w:r>
      <w:r>
        <w:rPr>
          <w:b/>
          <w:bCs/>
        </w:rPr>
        <w:t>Council</w:t>
      </w:r>
      <w:r w:rsidRPr="00EA2F26">
        <w:rPr>
          <w:b/>
          <w:bCs/>
        </w:rPr>
        <w:t xml:space="preserve"> versus Contractor</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3"/>
        <w:gridCol w:w="4253"/>
      </w:tblGrid>
      <w:tr w:rsidR="00D02973" w:rsidRPr="00EA2F26" w:rsidTr="00DF2FAC">
        <w:tc>
          <w:tcPr>
            <w:tcW w:w="4253" w:type="dxa"/>
            <w:shd w:val="clear" w:color="auto" w:fill="000000" w:themeFill="text1"/>
          </w:tcPr>
          <w:p w:rsidR="00D02973" w:rsidRPr="00EA2F26" w:rsidRDefault="00D02973" w:rsidP="00DF2FAC">
            <w:pPr>
              <w:spacing w:before="40"/>
              <w:rPr>
                <w:rFonts w:cs="Calibri"/>
                <w:b/>
                <w:sz w:val="20"/>
                <w:szCs w:val="20"/>
                <w:lang w:eastAsia="en-AU"/>
              </w:rPr>
            </w:pPr>
            <w:r w:rsidRPr="00EA2F26">
              <w:rPr>
                <w:rFonts w:cs="Calibri"/>
                <w:b/>
                <w:sz w:val="20"/>
                <w:szCs w:val="20"/>
                <w:lang w:eastAsia="en-AU"/>
              </w:rPr>
              <w:lastRenderedPageBreak/>
              <w:t>Contractor Responsibility</w:t>
            </w:r>
          </w:p>
        </w:tc>
        <w:tc>
          <w:tcPr>
            <w:tcW w:w="4253" w:type="dxa"/>
            <w:shd w:val="clear" w:color="auto" w:fill="000000" w:themeFill="text1"/>
          </w:tcPr>
          <w:p w:rsidR="00D02973" w:rsidRPr="00EA2F26" w:rsidRDefault="00D02973" w:rsidP="00DF2FAC">
            <w:pPr>
              <w:spacing w:before="40"/>
              <w:rPr>
                <w:rFonts w:cs="Calibri"/>
                <w:b/>
                <w:sz w:val="20"/>
                <w:szCs w:val="20"/>
                <w:lang w:eastAsia="en-AU"/>
              </w:rPr>
            </w:pPr>
            <w:r>
              <w:rPr>
                <w:rFonts w:cs="Calibri"/>
                <w:b/>
                <w:sz w:val="20"/>
                <w:szCs w:val="20"/>
                <w:lang w:eastAsia="en-AU"/>
              </w:rPr>
              <w:t>Council</w:t>
            </w:r>
            <w:r w:rsidRPr="00EA2F26">
              <w:rPr>
                <w:rFonts w:cs="Calibri"/>
                <w:b/>
                <w:sz w:val="20"/>
                <w:szCs w:val="20"/>
                <w:lang w:eastAsia="en-AU"/>
              </w:rPr>
              <w:t xml:space="preserve"> Responsibility</w:t>
            </w:r>
          </w:p>
        </w:tc>
      </w:tr>
      <w:tr w:rsidR="00D02973" w:rsidRPr="00EA2F26" w:rsidTr="00DF2FAC">
        <w:tc>
          <w:tcPr>
            <w:tcW w:w="4253" w:type="dxa"/>
          </w:tcPr>
          <w:p w:rsidR="00D02973" w:rsidRPr="00EA2F26" w:rsidRDefault="00D02973" w:rsidP="00DF2FAC">
            <w:pPr>
              <w:spacing w:before="40"/>
              <w:rPr>
                <w:rFonts w:cs="Calibri"/>
                <w:sz w:val="20"/>
                <w:szCs w:val="20"/>
                <w:lang w:eastAsia="en-AU"/>
              </w:rPr>
            </w:pPr>
            <w:r w:rsidRPr="00EA2F26">
              <w:rPr>
                <w:rFonts w:cs="Calibri"/>
                <w:sz w:val="20"/>
                <w:szCs w:val="20"/>
                <w:lang w:eastAsia="en-AU"/>
              </w:rPr>
              <w:t xml:space="preserve">Maintenance of </w:t>
            </w:r>
            <w:r>
              <w:rPr>
                <w:rFonts w:cs="Calibri"/>
                <w:sz w:val="20"/>
                <w:szCs w:val="20"/>
                <w:lang w:eastAsia="en-AU"/>
              </w:rPr>
              <w:t>Council</w:t>
            </w:r>
            <w:r w:rsidRPr="00EA2F26">
              <w:rPr>
                <w:rFonts w:cs="Calibri"/>
                <w:sz w:val="20"/>
                <w:szCs w:val="20"/>
                <w:lang w:eastAsia="en-AU"/>
              </w:rPr>
              <w:t>’s assets on a day to day basis as directed.</w:t>
            </w:r>
          </w:p>
        </w:tc>
        <w:tc>
          <w:tcPr>
            <w:tcW w:w="4253" w:type="dxa"/>
          </w:tcPr>
          <w:p w:rsidR="00D02973" w:rsidRPr="00EA2F26" w:rsidRDefault="00D02973" w:rsidP="00DF2FAC">
            <w:pPr>
              <w:spacing w:before="40"/>
              <w:rPr>
                <w:rFonts w:cs="Calibri"/>
                <w:sz w:val="20"/>
                <w:szCs w:val="20"/>
                <w:lang w:eastAsia="en-AU"/>
              </w:rPr>
            </w:pPr>
            <w:r w:rsidRPr="00EA2F26">
              <w:rPr>
                <w:rFonts w:cs="Calibri"/>
                <w:sz w:val="20"/>
                <w:szCs w:val="20"/>
                <w:lang w:eastAsia="en-AU"/>
              </w:rPr>
              <w:t xml:space="preserve">Strategic planning </w:t>
            </w:r>
          </w:p>
        </w:tc>
      </w:tr>
      <w:tr w:rsidR="00D02973" w:rsidRPr="00EA2F26" w:rsidTr="00DF2FAC">
        <w:tc>
          <w:tcPr>
            <w:tcW w:w="4253" w:type="dxa"/>
          </w:tcPr>
          <w:p w:rsidR="00D02973" w:rsidRPr="00EA2F26" w:rsidRDefault="00D02973" w:rsidP="00DF2FAC">
            <w:pPr>
              <w:spacing w:before="40"/>
              <w:rPr>
                <w:rFonts w:cs="Calibri"/>
                <w:sz w:val="20"/>
                <w:szCs w:val="20"/>
                <w:lang w:eastAsia="en-AU"/>
              </w:rPr>
            </w:pPr>
            <w:r w:rsidRPr="00EA2F26">
              <w:rPr>
                <w:rFonts w:cs="Calibri"/>
                <w:sz w:val="20"/>
                <w:szCs w:val="20"/>
                <w:lang w:eastAsia="en-AU"/>
              </w:rPr>
              <w:t xml:space="preserve">Monitoring and maintaining </w:t>
            </w:r>
            <w:r>
              <w:rPr>
                <w:rFonts w:cs="Calibri"/>
                <w:sz w:val="20"/>
                <w:szCs w:val="20"/>
                <w:lang w:eastAsia="en-AU"/>
              </w:rPr>
              <w:t>Council</w:t>
            </w:r>
            <w:r w:rsidRPr="00EA2F26">
              <w:rPr>
                <w:rFonts w:cs="Calibri"/>
                <w:sz w:val="20"/>
                <w:szCs w:val="20"/>
                <w:lang w:eastAsia="en-AU"/>
              </w:rPr>
              <w:t xml:space="preserve"> assets throughout the Municipality</w:t>
            </w:r>
          </w:p>
        </w:tc>
        <w:tc>
          <w:tcPr>
            <w:tcW w:w="4253" w:type="dxa"/>
          </w:tcPr>
          <w:p w:rsidR="00D02973" w:rsidRPr="00EA2F26" w:rsidRDefault="00D02973" w:rsidP="00DF2FAC">
            <w:pPr>
              <w:spacing w:before="40"/>
              <w:rPr>
                <w:rFonts w:cs="Calibri"/>
                <w:sz w:val="20"/>
                <w:szCs w:val="20"/>
                <w:lang w:eastAsia="en-AU"/>
              </w:rPr>
            </w:pPr>
            <w:r w:rsidRPr="00EA2F26">
              <w:rPr>
                <w:rFonts w:cs="Calibri"/>
                <w:sz w:val="20"/>
                <w:szCs w:val="20"/>
                <w:lang w:eastAsia="en-AU"/>
              </w:rPr>
              <w:t>Capital development and improvement for recreation and open space assets</w:t>
            </w:r>
          </w:p>
        </w:tc>
      </w:tr>
      <w:tr w:rsidR="00D02973" w:rsidRPr="00EA2F26" w:rsidTr="00DF2FAC">
        <w:tc>
          <w:tcPr>
            <w:tcW w:w="4253" w:type="dxa"/>
          </w:tcPr>
          <w:p w:rsidR="00D02973" w:rsidRPr="00EA2F26" w:rsidRDefault="00D02973" w:rsidP="00DF2FAC">
            <w:pPr>
              <w:spacing w:before="40"/>
              <w:rPr>
                <w:rFonts w:cs="Calibri"/>
                <w:sz w:val="20"/>
                <w:szCs w:val="20"/>
                <w:lang w:eastAsia="en-AU"/>
              </w:rPr>
            </w:pPr>
            <w:r w:rsidRPr="00EA2F26">
              <w:rPr>
                <w:rFonts w:cs="Calibri"/>
                <w:sz w:val="20"/>
                <w:szCs w:val="20"/>
                <w:lang w:eastAsia="en-AU"/>
              </w:rPr>
              <w:t>Customer service and complaints management as they relate to services performed.</w:t>
            </w:r>
          </w:p>
        </w:tc>
        <w:tc>
          <w:tcPr>
            <w:tcW w:w="4253" w:type="dxa"/>
          </w:tcPr>
          <w:p w:rsidR="00D02973" w:rsidRPr="00EA2F26" w:rsidRDefault="00D02973" w:rsidP="00DF2FAC">
            <w:pPr>
              <w:spacing w:before="40"/>
              <w:rPr>
                <w:rFonts w:cs="Calibri"/>
                <w:sz w:val="20"/>
                <w:szCs w:val="20"/>
                <w:lang w:eastAsia="en-AU"/>
              </w:rPr>
            </w:pPr>
            <w:r w:rsidRPr="00EA2F26">
              <w:rPr>
                <w:rFonts w:cs="Calibri"/>
                <w:sz w:val="20"/>
                <w:szCs w:val="20"/>
                <w:lang w:eastAsia="en-AU"/>
              </w:rPr>
              <w:t>Management and  supervision of contracted services</w:t>
            </w:r>
          </w:p>
        </w:tc>
      </w:tr>
      <w:tr w:rsidR="00D02973" w:rsidRPr="00EA2F26" w:rsidTr="00DF2FAC">
        <w:tc>
          <w:tcPr>
            <w:tcW w:w="4253" w:type="dxa"/>
          </w:tcPr>
          <w:p w:rsidR="00D02973" w:rsidRPr="00EA2F26" w:rsidRDefault="00D02973" w:rsidP="00DF2FAC">
            <w:pPr>
              <w:spacing w:before="40"/>
              <w:rPr>
                <w:rFonts w:cs="Calibri"/>
                <w:sz w:val="20"/>
                <w:szCs w:val="20"/>
                <w:lang w:eastAsia="en-AU"/>
              </w:rPr>
            </w:pPr>
            <w:r w:rsidRPr="00EA2F26">
              <w:rPr>
                <w:rFonts w:cs="Calibri"/>
                <w:sz w:val="20"/>
                <w:szCs w:val="20"/>
                <w:lang w:eastAsia="en-AU"/>
              </w:rPr>
              <w:t>Ensuring the implementation of existing and future management plans, strategies and programs</w:t>
            </w:r>
          </w:p>
        </w:tc>
        <w:tc>
          <w:tcPr>
            <w:tcW w:w="4253" w:type="dxa"/>
          </w:tcPr>
          <w:p w:rsidR="00D02973" w:rsidRPr="00EA2F26" w:rsidRDefault="00D02973" w:rsidP="00DF2FAC">
            <w:pPr>
              <w:spacing w:before="40"/>
              <w:rPr>
                <w:rFonts w:cs="Calibri"/>
                <w:sz w:val="20"/>
                <w:szCs w:val="20"/>
                <w:lang w:eastAsia="en-AU"/>
              </w:rPr>
            </w:pPr>
            <w:r w:rsidRPr="00EA2F26">
              <w:rPr>
                <w:rFonts w:cs="Calibri"/>
                <w:sz w:val="20"/>
                <w:szCs w:val="20"/>
                <w:lang w:eastAsia="en-AU"/>
              </w:rPr>
              <w:t>Enforcement of Regulations for recreation and open space assets</w:t>
            </w:r>
          </w:p>
        </w:tc>
      </w:tr>
    </w:tbl>
    <w:p w:rsidR="00D02973" w:rsidRPr="00EA2F26" w:rsidRDefault="00D02973" w:rsidP="00D02973">
      <w:pPr>
        <w:pStyle w:val="Heading3"/>
        <w:spacing w:after="200"/>
        <w:rPr>
          <w:rFonts w:asciiTheme="minorHAnsi" w:hAnsiTheme="minorHAnsi"/>
          <w:color w:val="7F7F7F" w:themeColor="text1" w:themeTint="80"/>
        </w:rPr>
      </w:pPr>
      <w:bookmarkStart w:id="47" w:name="_Toc448475203"/>
      <w:r w:rsidRPr="00EA2F26">
        <w:rPr>
          <w:rFonts w:asciiTheme="minorHAnsi" w:hAnsiTheme="minorHAnsi"/>
          <w:color w:val="7F7F7F" w:themeColor="text1" w:themeTint="80"/>
        </w:rPr>
        <w:t xml:space="preserve">4.6.2 </w:t>
      </w:r>
      <w:r w:rsidRPr="00EA2F26">
        <w:rPr>
          <w:rFonts w:asciiTheme="minorHAnsi" w:hAnsiTheme="minorHAnsi"/>
          <w:color w:val="7F7F7F" w:themeColor="text1" w:themeTint="80"/>
        </w:rPr>
        <w:tab/>
        <w:t>Inspections</w:t>
      </w:r>
      <w:bookmarkEnd w:id="47"/>
    </w:p>
    <w:p w:rsidR="00D02973" w:rsidRPr="00EA2F26" w:rsidRDefault="00D02973" w:rsidP="00D02973">
      <w:pPr>
        <w:autoSpaceDE w:val="0"/>
        <w:autoSpaceDN w:val="0"/>
        <w:adjustRightInd w:val="0"/>
        <w:rPr>
          <w:rFonts w:cs="Calibri"/>
        </w:rPr>
      </w:pPr>
      <w:r w:rsidRPr="00EA2F26">
        <w:rPr>
          <w:rFonts w:cs="Calibri"/>
        </w:rPr>
        <w:t>A key level of service is</w:t>
      </w:r>
      <w:r>
        <w:rPr>
          <w:rFonts w:cs="Calibri"/>
        </w:rPr>
        <w:t xml:space="preserve"> the regular inspection of the recreation and open space a</w:t>
      </w:r>
      <w:r w:rsidRPr="00EA2F26">
        <w:rPr>
          <w:rFonts w:cs="Calibri"/>
        </w:rPr>
        <w:t>ssets. Inspections are essential for safe and efficient management of the assets. Inspection frequencies’ are set out in the Management and Operation Infrastructure Maintenance Services Contract and are monitored via the Maintenance Management System.</w:t>
      </w:r>
    </w:p>
    <w:p w:rsidR="00D02973" w:rsidRPr="00EA2F26" w:rsidRDefault="00D02973" w:rsidP="00D02973">
      <w:pPr>
        <w:autoSpaceDE w:val="0"/>
        <w:autoSpaceDN w:val="0"/>
        <w:adjustRightInd w:val="0"/>
        <w:spacing w:after="80"/>
        <w:rPr>
          <w:rFonts w:cs="Calibri"/>
        </w:rPr>
      </w:pPr>
      <w:r w:rsidRPr="00EA2F26">
        <w:rPr>
          <w:rFonts w:cs="Calibri"/>
        </w:rPr>
        <w:t>Maintenance inspections identify</w:t>
      </w:r>
      <w:r>
        <w:rPr>
          <w:rFonts w:cs="Calibri"/>
        </w:rPr>
        <w:t>,</w:t>
      </w:r>
      <w:r w:rsidRPr="00EA2F26">
        <w:rPr>
          <w:rFonts w:cs="Calibri"/>
        </w:rPr>
        <w:t xml:space="preserve"> record and report defects that are causing, or have the potential to cause: </w:t>
      </w:r>
    </w:p>
    <w:p w:rsidR="00D02973" w:rsidRPr="00EA2F26" w:rsidRDefault="00D02973" w:rsidP="00D02973">
      <w:pPr>
        <w:pStyle w:val="ListParagraph"/>
        <w:numPr>
          <w:ilvl w:val="0"/>
          <w:numId w:val="13"/>
        </w:numPr>
        <w:autoSpaceDE w:val="0"/>
        <w:autoSpaceDN w:val="0"/>
        <w:adjustRightInd w:val="0"/>
        <w:rPr>
          <w:rFonts w:cs="Calibri"/>
        </w:rPr>
      </w:pPr>
      <w:r w:rsidRPr="00EA2F26">
        <w:rPr>
          <w:rFonts w:cs="Calibri"/>
        </w:rPr>
        <w:t xml:space="preserve">Disruption to service provision; </w:t>
      </w:r>
    </w:p>
    <w:p w:rsidR="00D02973" w:rsidRPr="00EA2F26" w:rsidRDefault="00D02973" w:rsidP="00D02973">
      <w:pPr>
        <w:pStyle w:val="ListParagraph"/>
        <w:numPr>
          <w:ilvl w:val="0"/>
          <w:numId w:val="13"/>
        </w:numPr>
        <w:autoSpaceDE w:val="0"/>
        <w:autoSpaceDN w:val="0"/>
        <w:adjustRightInd w:val="0"/>
        <w:rPr>
          <w:rFonts w:cs="Calibri"/>
        </w:rPr>
      </w:pPr>
      <w:r w:rsidRPr="00EA2F26">
        <w:rPr>
          <w:rFonts w:cs="Calibri"/>
        </w:rPr>
        <w:t xml:space="preserve">Degradation of asset performance and/or condition including cleanliness; </w:t>
      </w:r>
    </w:p>
    <w:p w:rsidR="00D02973" w:rsidRPr="00EA2F26" w:rsidRDefault="00D02973" w:rsidP="00D02973">
      <w:pPr>
        <w:pStyle w:val="ListParagraph"/>
        <w:numPr>
          <w:ilvl w:val="0"/>
          <w:numId w:val="13"/>
        </w:numPr>
        <w:autoSpaceDE w:val="0"/>
        <w:autoSpaceDN w:val="0"/>
        <w:adjustRightInd w:val="0"/>
        <w:rPr>
          <w:rFonts w:cs="Calibri"/>
        </w:rPr>
      </w:pPr>
      <w:r w:rsidRPr="00EA2F26">
        <w:rPr>
          <w:rFonts w:cs="Calibri"/>
        </w:rPr>
        <w:t xml:space="preserve">A public health or safety risk; </w:t>
      </w:r>
    </w:p>
    <w:p w:rsidR="00D02973" w:rsidRPr="00EA2F26" w:rsidRDefault="00D02973" w:rsidP="00D02973">
      <w:pPr>
        <w:pStyle w:val="ListParagraph"/>
        <w:numPr>
          <w:ilvl w:val="0"/>
          <w:numId w:val="13"/>
        </w:numPr>
        <w:autoSpaceDE w:val="0"/>
        <w:autoSpaceDN w:val="0"/>
        <w:adjustRightInd w:val="0"/>
        <w:spacing w:before="240"/>
        <w:rPr>
          <w:rFonts w:cs="Calibri"/>
        </w:rPr>
      </w:pPr>
      <w:r w:rsidRPr="00EA2F26">
        <w:rPr>
          <w:rFonts w:cs="Calibri"/>
        </w:rPr>
        <w:t xml:space="preserve">Inconvenience to staff and/or the public; </w:t>
      </w:r>
    </w:p>
    <w:p w:rsidR="00D02973" w:rsidRPr="00EA2F26" w:rsidRDefault="00D02973" w:rsidP="00D02973">
      <w:pPr>
        <w:pStyle w:val="ListParagraph"/>
        <w:numPr>
          <w:ilvl w:val="0"/>
          <w:numId w:val="13"/>
        </w:numPr>
        <w:autoSpaceDE w:val="0"/>
        <w:autoSpaceDN w:val="0"/>
        <w:adjustRightInd w:val="0"/>
        <w:spacing w:before="240"/>
        <w:rPr>
          <w:rFonts w:cs="Calibri"/>
        </w:rPr>
      </w:pPr>
      <w:r w:rsidRPr="00EA2F26">
        <w:rPr>
          <w:rFonts w:cs="Calibri"/>
        </w:rPr>
        <w:t xml:space="preserve">Breach of regulations or legislation; </w:t>
      </w:r>
    </w:p>
    <w:p w:rsidR="00D02973" w:rsidRPr="00EA2F26" w:rsidRDefault="00D02973" w:rsidP="00D02973">
      <w:pPr>
        <w:pStyle w:val="ListParagraph"/>
        <w:numPr>
          <w:ilvl w:val="0"/>
          <w:numId w:val="13"/>
        </w:numPr>
        <w:autoSpaceDE w:val="0"/>
        <w:autoSpaceDN w:val="0"/>
        <w:adjustRightInd w:val="0"/>
        <w:spacing w:before="240"/>
        <w:rPr>
          <w:rFonts w:cs="Calibri"/>
        </w:rPr>
      </w:pPr>
      <w:r w:rsidRPr="00EA2F26">
        <w:rPr>
          <w:rFonts w:cs="Calibri"/>
        </w:rPr>
        <w:t xml:space="preserve">A financial risk; and </w:t>
      </w:r>
    </w:p>
    <w:p w:rsidR="00D02973" w:rsidRPr="00EA2F26" w:rsidRDefault="00D02973" w:rsidP="00D02973">
      <w:pPr>
        <w:pStyle w:val="ListParagraph"/>
        <w:numPr>
          <w:ilvl w:val="0"/>
          <w:numId w:val="13"/>
        </w:numPr>
        <w:autoSpaceDE w:val="0"/>
        <w:autoSpaceDN w:val="0"/>
        <w:adjustRightInd w:val="0"/>
        <w:spacing w:before="240"/>
        <w:rPr>
          <w:rFonts w:cs="Calibri"/>
        </w:rPr>
      </w:pPr>
      <w:r w:rsidRPr="00EA2F26">
        <w:rPr>
          <w:rFonts w:cs="Calibri"/>
        </w:rPr>
        <w:t xml:space="preserve">Property damage </w:t>
      </w:r>
    </w:p>
    <w:p w:rsidR="00D02973" w:rsidRPr="00EA2F26" w:rsidRDefault="00D02973" w:rsidP="00D02973">
      <w:pPr>
        <w:autoSpaceDE w:val="0"/>
        <w:autoSpaceDN w:val="0"/>
        <w:adjustRightInd w:val="0"/>
        <w:spacing w:after="80"/>
        <w:rPr>
          <w:rFonts w:cs="Calibri"/>
        </w:rPr>
      </w:pPr>
      <w:r w:rsidRPr="00EA2F26">
        <w:rPr>
          <w:rFonts w:cs="Calibri"/>
        </w:rPr>
        <w:t>The Recreation and Open Space Maintenance Contracts requires two levels of programmed inspections:</w:t>
      </w:r>
    </w:p>
    <w:p w:rsidR="00D02973" w:rsidRPr="00EA2F26" w:rsidRDefault="00D02973" w:rsidP="00D02973">
      <w:pPr>
        <w:pStyle w:val="ListParagraph"/>
        <w:numPr>
          <w:ilvl w:val="0"/>
          <w:numId w:val="13"/>
        </w:numPr>
        <w:autoSpaceDE w:val="0"/>
        <w:autoSpaceDN w:val="0"/>
        <w:adjustRightInd w:val="0"/>
        <w:rPr>
          <w:rFonts w:cs="Calibri"/>
        </w:rPr>
      </w:pPr>
      <w:r>
        <w:rPr>
          <w:rFonts w:cs="Calibri"/>
        </w:rPr>
        <w:t xml:space="preserve">Maintenance Condition Audits - </w:t>
      </w:r>
      <w:r w:rsidRPr="00EA2F26">
        <w:rPr>
          <w:rFonts w:cs="Calibri"/>
        </w:rPr>
        <w:t>annually</w:t>
      </w:r>
    </w:p>
    <w:p w:rsidR="00D02973" w:rsidRPr="00EA2F26" w:rsidRDefault="00D02973" w:rsidP="00D02973">
      <w:pPr>
        <w:pStyle w:val="ListParagraph"/>
        <w:numPr>
          <w:ilvl w:val="0"/>
          <w:numId w:val="28"/>
        </w:numPr>
        <w:autoSpaceDE w:val="0"/>
        <w:autoSpaceDN w:val="0"/>
        <w:adjustRightInd w:val="0"/>
        <w:spacing w:before="240"/>
        <w:rPr>
          <w:rFonts w:cs="Calibri"/>
        </w:rPr>
      </w:pPr>
      <w:r w:rsidRPr="00EA2F26">
        <w:rPr>
          <w:rFonts w:cs="Calibri"/>
        </w:rPr>
        <w:t xml:space="preserve">Life Cycle Costing Audits (Asset condition / remaining life) </w:t>
      </w:r>
      <w:r>
        <w:rPr>
          <w:rFonts w:cs="Calibri"/>
        </w:rPr>
        <w:t xml:space="preserve">- </w:t>
      </w:r>
      <w:r w:rsidRPr="00EA2F26">
        <w:rPr>
          <w:rFonts w:cs="Calibri"/>
        </w:rPr>
        <w:t>every two (2) years</w:t>
      </w:r>
    </w:p>
    <w:p w:rsidR="00D02973" w:rsidRPr="00EA2F26" w:rsidRDefault="00D02973" w:rsidP="00D02973">
      <w:pPr>
        <w:spacing w:before="240"/>
        <w:rPr>
          <w:rFonts w:cs="Calibri"/>
        </w:rPr>
      </w:pPr>
      <w:r w:rsidRPr="00EA2F26">
        <w:rPr>
          <w:rFonts w:cs="Calibri"/>
        </w:rPr>
        <w:t xml:space="preserve">Data is provided on a monthly reporting cycle. The aim is for </w:t>
      </w:r>
      <w:r>
        <w:rPr>
          <w:rFonts w:cs="Calibri"/>
        </w:rPr>
        <w:t>Council</w:t>
      </w:r>
      <w:r w:rsidRPr="00EA2F26">
        <w:rPr>
          <w:rFonts w:cs="Calibri"/>
        </w:rPr>
        <w:t xml:space="preserve"> to build accurate life cycle costs and maintenance information that </w:t>
      </w:r>
      <w:r>
        <w:rPr>
          <w:rFonts w:cs="Calibri"/>
        </w:rPr>
        <w:t>Council</w:t>
      </w:r>
      <w:r w:rsidRPr="00EA2F26">
        <w:rPr>
          <w:rFonts w:cs="Calibri"/>
        </w:rPr>
        <w:t xml:space="preserve"> will use to improve recreation a</w:t>
      </w:r>
      <w:r>
        <w:rPr>
          <w:rFonts w:cs="Calibri"/>
        </w:rPr>
        <w:t>nd open spaces management. All r</w:t>
      </w:r>
      <w:r w:rsidRPr="00EA2F26">
        <w:rPr>
          <w:rFonts w:cs="Calibri"/>
        </w:rPr>
        <w:t>eports, correspondence or other documents are saved in the TRIM system.</w:t>
      </w:r>
    </w:p>
    <w:p w:rsidR="00D02973" w:rsidRPr="00DF2FAC" w:rsidRDefault="00D02973" w:rsidP="00D02973">
      <w:pPr>
        <w:pStyle w:val="Heading2"/>
        <w:spacing w:after="200"/>
        <w:rPr>
          <w:rFonts w:asciiTheme="minorHAnsi" w:hAnsiTheme="minorHAnsi"/>
          <w:color w:val="2E74B5" w:themeColor="accent1" w:themeShade="BF"/>
        </w:rPr>
      </w:pPr>
      <w:bookmarkStart w:id="48" w:name="_Toc448475204"/>
      <w:r w:rsidRPr="00DF2FAC">
        <w:rPr>
          <w:rFonts w:asciiTheme="minorHAnsi" w:hAnsiTheme="minorHAnsi"/>
          <w:color w:val="2E74B5" w:themeColor="accent1" w:themeShade="BF"/>
        </w:rPr>
        <w:lastRenderedPageBreak/>
        <w:t>4.7</w:t>
      </w:r>
      <w:r w:rsidRPr="00DF2FAC">
        <w:rPr>
          <w:rFonts w:asciiTheme="minorHAnsi" w:hAnsiTheme="minorHAnsi"/>
          <w:color w:val="2E74B5" w:themeColor="accent1" w:themeShade="BF"/>
        </w:rPr>
        <w:tab/>
        <w:t>Renewal, Upgrade and Disposal Plan</w:t>
      </w:r>
      <w:bookmarkEnd w:id="48"/>
    </w:p>
    <w:p w:rsidR="00D02973" w:rsidRPr="00EA2F26" w:rsidRDefault="00D02973" w:rsidP="00D02973">
      <w:pPr>
        <w:pStyle w:val="Heading3"/>
        <w:spacing w:after="200"/>
        <w:rPr>
          <w:rFonts w:asciiTheme="minorHAnsi" w:hAnsiTheme="minorHAnsi"/>
          <w:color w:val="7F7F7F" w:themeColor="text1" w:themeTint="80"/>
        </w:rPr>
      </w:pPr>
      <w:bookmarkStart w:id="49" w:name="_Toc448475205"/>
      <w:r w:rsidRPr="00EA2F26">
        <w:rPr>
          <w:rFonts w:asciiTheme="minorHAnsi" w:hAnsiTheme="minorHAnsi"/>
          <w:color w:val="7F7F7F" w:themeColor="text1" w:themeTint="80"/>
        </w:rPr>
        <w:t xml:space="preserve">4.7.1 </w:t>
      </w:r>
      <w:r w:rsidRPr="00EA2F26">
        <w:rPr>
          <w:rFonts w:asciiTheme="minorHAnsi" w:hAnsiTheme="minorHAnsi"/>
          <w:color w:val="7F7F7F" w:themeColor="text1" w:themeTint="80"/>
        </w:rPr>
        <w:tab/>
        <w:t>Renewal Strategy Prioritisation Process</w:t>
      </w:r>
      <w:bookmarkEnd w:id="49"/>
    </w:p>
    <w:p w:rsidR="00D02973" w:rsidRPr="00EA2F26" w:rsidRDefault="00D02973" w:rsidP="00D02973">
      <w:pPr>
        <w:spacing w:before="120"/>
        <w:jc w:val="both"/>
      </w:pPr>
      <w:r w:rsidRPr="00EA2F26">
        <w:t xml:space="preserve">Planned and reactive renewal works are prioritised in accordance with the consequence of failure rating for the asset in question. </w:t>
      </w:r>
    </w:p>
    <w:p w:rsidR="00D02973" w:rsidRPr="00EA2F26" w:rsidRDefault="00D02973" w:rsidP="00D02973">
      <w:pPr>
        <w:spacing w:before="120"/>
        <w:jc w:val="both"/>
      </w:pPr>
      <w:r w:rsidRPr="00EA2F26">
        <w:t xml:space="preserve">This Renewal Section relates specifically to the need to renew assets to address condition problems rather than for capacity or performance reasons. Recreation and open space assets that are not fit for purpose or </w:t>
      </w:r>
      <w:r>
        <w:t xml:space="preserve">not </w:t>
      </w:r>
      <w:r w:rsidRPr="00EA2F26">
        <w:t xml:space="preserve">performing adequately will be prioritised for upgrades based on the relevant Asset Upgrade Strategy. </w:t>
      </w:r>
    </w:p>
    <w:p w:rsidR="00D02973" w:rsidRPr="00EA2F26" w:rsidRDefault="00D02973" w:rsidP="00D02973">
      <w:pPr>
        <w:pStyle w:val="Heading3"/>
        <w:spacing w:after="200"/>
        <w:rPr>
          <w:rFonts w:asciiTheme="minorHAnsi" w:hAnsiTheme="minorHAnsi"/>
          <w:color w:val="808080" w:themeColor="background1" w:themeShade="80"/>
        </w:rPr>
      </w:pPr>
      <w:bookmarkStart w:id="50" w:name="_Toc446068440"/>
      <w:bookmarkStart w:id="51" w:name="_Toc288653633"/>
      <w:bookmarkStart w:id="52" w:name="_Toc302485178"/>
      <w:bookmarkStart w:id="53" w:name="_Toc448475206"/>
      <w:r w:rsidRPr="00EA2F26">
        <w:rPr>
          <w:rFonts w:asciiTheme="minorHAnsi" w:hAnsiTheme="minorHAnsi"/>
          <w:color w:val="808080" w:themeColor="background1" w:themeShade="80"/>
        </w:rPr>
        <w:t>4.7.2</w:t>
      </w:r>
      <w:r w:rsidRPr="00EA2F26">
        <w:rPr>
          <w:rFonts w:asciiTheme="minorHAnsi" w:hAnsiTheme="minorHAnsi"/>
          <w:color w:val="808080" w:themeColor="background1" w:themeShade="80"/>
        </w:rPr>
        <w:tab/>
        <w:t>Renewal Strategy</w:t>
      </w:r>
      <w:bookmarkEnd w:id="50"/>
      <w:bookmarkEnd w:id="51"/>
      <w:bookmarkEnd w:id="52"/>
      <w:bookmarkEnd w:id="53"/>
    </w:p>
    <w:p w:rsidR="00D02973" w:rsidRPr="00EA2F26" w:rsidRDefault="00D02973" w:rsidP="00D02973">
      <w:pPr>
        <w:spacing w:before="120"/>
        <w:jc w:val="both"/>
      </w:pPr>
      <w:r w:rsidRPr="00EA2F26">
        <w:t>The justification to renew recreation and open space assets is based on the following criteria:</w:t>
      </w:r>
    </w:p>
    <w:p w:rsidR="00D02973" w:rsidRPr="00EA2F26" w:rsidRDefault="00D02973" w:rsidP="00D02973">
      <w:pPr>
        <w:pStyle w:val="ListParagraph"/>
        <w:numPr>
          <w:ilvl w:val="0"/>
          <w:numId w:val="37"/>
        </w:numPr>
      </w:pPr>
      <w:r w:rsidRPr="00EA2F26">
        <w:t>Risk:  The risk of failure and associated financial and social impact justifies action (e.g. impact and extent of resulting inability to be able to use the asset, probable extent of damage to business, and any health risk arising from use of the asset).</w:t>
      </w:r>
    </w:p>
    <w:p w:rsidR="00D02973" w:rsidRPr="00EA2F26" w:rsidRDefault="00D02973" w:rsidP="00D02973">
      <w:pPr>
        <w:pStyle w:val="BodyText"/>
        <w:numPr>
          <w:ilvl w:val="0"/>
          <w:numId w:val="34"/>
        </w:numPr>
        <w:spacing w:after="200" w:line="276" w:lineRule="auto"/>
        <w:jc w:val="both"/>
        <w:rPr>
          <w:rFonts w:asciiTheme="minorHAnsi" w:hAnsiTheme="minorHAnsi"/>
        </w:rPr>
      </w:pPr>
      <w:r w:rsidRPr="00EA2F26">
        <w:rPr>
          <w:rFonts w:asciiTheme="minorHAnsi" w:eastAsiaTheme="minorHAnsi" w:hAnsiTheme="minorHAnsi" w:cstheme="minorBidi"/>
          <w:sz w:val="22"/>
          <w:szCs w:val="22"/>
          <w:lang w:eastAsia="en-US"/>
        </w:rPr>
        <w:t xml:space="preserve">Asset performance:  The failure of an asset to meet the required level of service.  Non-performing assets are identified by the monitoring of asset reliability, capacity and efficiency during inspections and operational activity.  </w:t>
      </w:r>
    </w:p>
    <w:p w:rsidR="00D02973" w:rsidRPr="00A15983" w:rsidRDefault="00D02973" w:rsidP="00D02973">
      <w:pPr>
        <w:pStyle w:val="BodyText"/>
        <w:numPr>
          <w:ilvl w:val="0"/>
          <w:numId w:val="34"/>
        </w:numPr>
        <w:spacing w:after="200" w:line="276" w:lineRule="auto"/>
        <w:jc w:val="both"/>
        <w:rPr>
          <w:rFonts w:asciiTheme="minorHAnsi" w:hAnsiTheme="minorHAnsi"/>
        </w:rPr>
      </w:pPr>
      <w:r w:rsidRPr="00EA2F26">
        <w:rPr>
          <w:rFonts w:asciiTheme="minorHAnsi" w:eastAsiaTheme="minorHAnsi" w:hAnsiTheme="minorHAnsi" w:cstheme="minorBidi"/>
          <w:sz w:val="22"/>
          <w:szCs w:val="22"/>
          <w:lang w:eastAsia="en-US"/>
        </w:rPr>
        <w:t>Economics: It is no longer economically prudent to continue repairing the asset (i.e. the annual cost of repairs exceeds the annualised cost of renewal.</w:t>
      </w:r>
    </w:p>
    <w:p w:rsidR="00D02973" w:rsidRPr="00A15983" w:rsidRDefault="00D02973" w:rsidP="00D02973">
      <w:pPr>
        <w:spacing w:before="120"/>
        <w:jc w:val="both"/>
      </w:pPr>
      <w:r w:rsidRPr="00EA2F26">
        <w:t xml:space="preserve">In addition to criticality rating, prioritisation will be rated on urgency of work in accordance with the functional hierarchy and asset category. </w:t>
      </w:r>
    </w:p>
    <w:p w:rsidR="00D02973" w:rsidRPr="00EA2F26" w:rsidRDefault="00D02973" w:rsidP="00D02973">
      <w:pPr>
        <w:pStyle w:val="Heading3"/>
        <w:spacing w:after="200"/>
        <w:rPr>
          <w:rFonts w:asciiTheme="minorHAnsi" w:hAnsiTheme="minorHAnsi" w:cs="Calibri"/>
          <w:color w:val="404040" w:themeColor="text1" w:themeTint="BF"/>
        </w:rPr>
      </w:pPr>
      <w:bookmarkStart w:id="54" w:name="_Toc448475207"/>
      <w:r w:rsidRPr="00EA2F26">
        <w:rPr>
          <w:rFonts w:asciiTheme="minorHAnsi" w:hAnsiTheme="minorHAnsi"/>
          <w:color w:val="808080" w:themeColor="background1" w:themeShade="80"/>
        </w:rPr>
        <w:t>4.7.3</w:t>
      </w:r>
      <w:r w:rsidRPr="00EA2F26">
        <w:rPr>
          <w:rFonts w:asciiTheme="minorHAnsi" w:hAnsiTheme="minorHAnsi"/>
          <w:color w:val="808080" w:themeColor="background1" w:themeShade="80"/>
        </w:rPr>
        <w:tab/>
        <w:t>New and Upgraded Asset Requirements</w:t>
      </w:r>
      <w:bookmarkEnd w:id="54"/>
    </w:p>
    <w:p w:rsidR="00D02973" w:rsidRPr="00EA2F26" w:rsidRDefault="00D02973" w:rsidP="00D02973">
      <w:pPr>
        <w:spacing w:before="120"/>
        <w:jc w:val="both"/>
      </w:pPr>
      <w:r w:rsidRPr="00EA2F26">
        <w:t xml:space="preserve">New and upgraded asset requirements include works required to cater for growth in or higher levels of service (performance). This may include the creation of a new asset or an upgrade to increase the capacity of an existing asset. New assets are constructed to meet new services or higher levels of service. An upgrade to a recreation or open space asset is an enhancement to meet the demand for an increased level of service or to render the building to be fit for purpose. </w:t>
      </w:r>
    </w:p>
    <w:p w:rsidR="00D02973" w:rsidRPr="00EA2F26" w:rsidRDefault="00D02973" w:rsidP="00D02973">
      <w:pPr>
        <w:autoSpaceDE w:val="0"/>
        <w:autoSpaceDN w:val="0"/>
        <w:adjustRightInd w:val="0"/>
        <w:jc w:val="both"/>
      </w:pPr>
      <w:r w:rsidRPr="00EA2F26">
        <w:t>Funding of new and upgrade works fall into the following categories depending upon the extent and type of works:</w:t>
      </w:r>
    </w:p>
    <w:p w:rsidR="00D02973" w:rsidRPr="00EA2F26" w:rsidRDefault="00D02973" w:rsidP="00D02973">
      <w:pPr>
        <w:pStyle w:val="BodyText"/>
        <w:numPr>
          <w:ilvl w:val="0"/>
          <w:numId w:val="34"/>
        </w:numPr>
        <w:spacing w:after="0" w:line="276"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Council</w:t>
      </w:r>
      <w:r w:rsidRPr="00EA2F26">
        <w:rPr>
          <w:rFonts w:asciiTheme="minorHAnsi" w:eastAsiaTheme="minorHAnsi" w:hAnsiTheme="minorHAnsi" w:cstheme="minorBidi"/>
          <w:sz w:val="22"/>
          <w:szCs w:val="22"/>
          <w:lang w:eastAsia="en-US"/>
        </w:rPr>
        <w:t xml:space="preserve"> funded, or </w:t>
      </w:r>
    </w:p>
    <w:p w:rsidR="00D02973" w:rsidRPr="00EA2F26" w:rsidRDefault="00D02973" w:rsidP="00D02973">
      <w:pPr>
        <w:pStyle w:val="BodyText"/>
        <w:numPr>
          <w:ilvl w:val="0"/>
          <w:numId w:val="34"/>
        </w:numPr>
        <w:spacing w:after="0" w:line="276" w:lineRule="auto"/>
        <w:jc w:val="both"/>
        <w:rPr>
          <w:rFonts w:asciiTheme="minorHAnsi" w:eastAsiaTheme="minorHAnsi" w:hAnsiTheme="minorHAnsi" w:cstheme="minorBidi"/>
          <w:sz w:val="22"/>
          <w:szCs w:val="22"/>
          <w:lang w:eastAsia="en-US"/>
        </w:rPr>
      </w:pPr>
      <w:r w:rsidRPr="00EA2F26">
        <w:rPr>
          <w:rFonts w:asciiTheme="minorHAnsi" w:eastAsiaTheme="minorHAnsi" w:hAnsiTheme="minorHAnsi" w:cstheme="minorBidi"/>
          <w:sz w:val="22"/>
          <w:szCs w:val="22"/>
          <w:lang w:eastAsia="en-US"/>
        </w:rPr>
        <w:t>Externally funded (commercial, private, Government or non-profit organisation), or</w:t>
      </w:r>
    </w:p>
    <w:p w:rsidR="00D02973" w:rsidRPr="00EA2F26" w:rsidRDefault="00D02973" w:rsidP="00D02973">
      <w:pPr>
        <w:pStyle w:val="BodyText"/>
        <w:numPr>
          <w:ilvl w:val="0"/>
          <w:numId w:val="34"/>
        </w:numPr>
        <w:spacing w:line="276" w:lineRule="auto"/>
        <w:ind w:left="714" w:hanging="357"/>
        <w:jc w:val="both"/>
        <w:rPr>
          <w:rFonts w:asciiTheme="minorHAnsi" w:eastAsiaTheme="minorHAnsi" w:hAnsiTheme="minorHAnsi" w:cstheme="minorBidi"/>
          <w:sz w:val="22"/>
          <w:szCs w:val="22"/>
          <w:lang w:eastAsia="en-US"/>
        </w:rPr>
      </w:pPr>
      <w:r w:rsidRPr="00EA2F26">
        <w:rPr>
          <w:rFonts w:asciiTheme="minorHAnsi" w:eastAsiaTheme="minorHAnsi" w:hAnsiTheme="minorHAnsi" w:cstheme="minorBidi"/>
          <w:sz w:val="22"/>
          <w:szCs w:val="22"/>
          <w:lang w:eastAsia="en-US"/>
        </w:rPr>
        <w:t xml:space="preserve">Shared contribution to the cost by </w:t>
      </w:r>
      <w:r>
        <w:rPr>
          <w:rFonts w:asciiTheme="minorHAnsi" w:eastAsiaTheme="minorHAnsi" w:hAnsiTheme="minorHAnsi" w:cstheme="minorBidi"/>
          <w:sz w:val="22"/>
          <w:szCs w:val="22"/>
          <w:lang w:eastAsia="en-US"/>
        </w:rPr>
        <w:t>Council</w:t>
      </w:r>
      <w:r w:rsidRPr="00EA2F26">
        <w:rPr>
          <w:rFonts w:asciiTheme="minorHAnsi" w:eastAsiaTheme="minorHAnsi" w:hAnsiTheme="minorHAnsi" w:cstheme="minorBidi"/>
          <w:sz w:val="22"/>
          <w:szCs w:val="22"/>
          <w:lang w:eastAsia="en-US"/>
        </w:rPr>
        <w:t xml:space="preserve"> and an outside interest.</w:t>
      </w:r>
    </w:p>
    <w:p w:rsidR="00D02973" w:rsidRPr="00EA2F26" w:rsidRDefault="00D02973" w:rsidP="00D02973">
      <w:pPr>
        <w:autoSpaceDE w:val="0"/>
        <w:autoSpaceDN w:val="0"/>
        <w:adjustRightInd w:val="0"/>
        <w:jc w:val="both"/>
      </w:pPr>
      <w:r w:rsidRPr="00EA2F26">
        <w:t xml:space="preserve">A significant issue that affects demand for new recreation and open space asset or upgrades to existing assets is whether existing assets are fit for purpose in supporting the services that are provided to the community. In some cases, legislative and regulatory changes will drive such works. In other cases, it </w:t>
      </w:r>
      <w:r w:rsidRPr="00EA2F26">
        <w:lastRenderedPageBreak/>
        <w:t xml:space="preserve">will be feedback from asset users. The ongoing development of </w:t>
      </w:r>
      <w:r>
        <w:t xml:space="preserve">Service </w:t>
      </w:r>
      <w:r w:rsidRPr="00EA2F26">
        <w:t xml:space="preserve">Strategies for each service will guide </w:t>
      </w:r>
      <w:r>
        <w:t>Council</w:t>
      </w:r>
      <w:r w:rsidRPr="00EA2F26">
        <w:t>’s investment in new and upgraded recreation and open space assets.</w:t>
      </w:r>
    </w:p>
    <w:p w:rsidR="00D02973" w:rsidRPr="00EA2F26" w:rsidRDefault="00D02973" w:rsidP="00D02973">
      <w:pPr>
        <w:autoSpaceDE w:val="0"/>
        <w:autoSpaceDN w:val="0"/>
        <w:adjustRightInd w:val="0"/>
        <w:jc w:val="both"/>
      </w:pPr>
      <w:r>
        <w:t>When Council</w:t>
      </w:r>
      <w:r w:rsidRPr="00EA2F26">
        <w:t xml:space="preserve"> considers discretionary capital expenditures for new or upgraded assets, it is essential to establish the consequential recurring operational and maintenance costs that will occur once the new or upgra</w:t>
      </w:r>
      <w:r>
        <w:t xml:space="preserve">ded assets become operational. </w:t>
      </w:r>
      <w:r w:rsidRPr="00EA2F26">
        <w:t xml:space="preserve">Understanding life cycle costs is part of being fully </w:t>
      </w:r>
      <w:r>
        <w:t xml:space="preserve">informed of future liabilities. </w:t>
      </w:r>
      <w:r w:rsidRPr="00EA2F26">
        <w:t xml:space="preserve">As new projects are brought forward for consideration in annual budget deliberations, they will have to include an assessment of these ongoing operational (recurrent) costs to be presented to </w:t>
      </w:r>
      <w:r>
        <w:t>Council</w:t>
      </w:r>
      <w:r w:rsidRPr="00EA2F26">
        <w:t xml:space="preserve"> as part of the overall cost projections. </w:t>
      </w:r>
    </w:p>
    <w:p w:rsidR="00D02973" w:rsidRPr="00EA2F26" w:rsidRDefault="00D02973" w:rsidP="00D02973">
      <w:pPr>
        <w:pStyle w:val="Heading3"/>
        <w:spacing w:after="200"/>
        <w:rPr>
          <w:rFonts w:asciiTheme="minorHAnsi" w:hAnsiTheme="minorHAnsi"/>
          <w:color w:val="808080" w:themeColor="background1" w:themeShade="80"/>
        </w:rPr>
      </w:pPr>
      <w:bookmarkStart w:id="55" w:name="_Toc448475208"/>
      <w:r w:rsidRPr="00EA2F26">
        <w:rPr>
          <w:rFonts w:asciiTheme="minorHAnsi" w:hAnsiTheme="minorHAnsi"/>
          <w:color w:val="808080" w:themeColor="background1" w:themeShade="80"/>
        </w:rPr>
        <w:t>4.7.4</w:t>
      </w:r>
      <w:r w:rsidRPr="00EA2F26">
        <w:rPr>
          <w:rFonts w:asciiTheme="minorHAnsi" w:hAnsiTheme="minorHAnsi"/>
          <w:color w:val="808080" w:themeColor="background1" w:themeShade="80"/>
        </w:rPr>
        <w:tab/>
        <w:t>Asset Upgrade Strategies</w:t>
      </w:r>
      <w:bookmarkEnd w:id="55"/>
    </w:p>
    <w:p w:rsidR="00D02973" w:rsidRPr="00EA2F26" w:rsidRDefault="00D02973" w:rsidP="00D02973">
      <w:pPr>
        <w:spacing w:before="120"/>
        <w:jc w:val="both"/>
      </w:pPr>
      <w:r w:rsidRPr="00EA2F26">
        <w:t xml:space="preserve">The role of Asset Upgrade Strategies is to identify the need for new recreation and open space assets or upgrades to existing assets based on service performance or fit-for-purpose requirements. </w:t>
      </w:r>
      <w:r w:rsidRPr="00EA2F26">
        <w:rPr>
          <w:rFonts w:cs="Calibri"/>
        </w:rPr>
        <w:t xml:space="preserve">The critical principle behind Asset Upgrade Strategies is the recognition that some assets will require refurbishment to ensure that they continue to meet service needs for the community. </w:t>
      </w:r>
      <w:r w:rsidRPr="00EA2F26">
        <w:t xml:space="preserve">The Strategies also enable ‘early’ renewal works to be considered together with other planned renewals based on poor asset condition. There is then a more strategically driven and systematic approach to the long term management of </w:t>
      </w:r>
      <w:r>
        <w:t>Council</w:t>
      </w:r>
      <w:r w:rsidRPr="00EA2F26">
        <w:t>’s recreation and open space assets.</w:t>
      </w:r>
    </w:p>
    <w:p w:rsidR="00D02973" w:rsidRPr="00EA2F26" w:rsidRDefault="00D02973" w:rsidP="00D02973">
      <w:r w:rsidRPr="00EA2F26">
        <w:t xml:space="preserve">The general focus for recreation and open space assets has been on working towards developing a long term approach to identifying and programming the renewal and upgrade of assets. This work is ongoing as </w:t>
      </w:r>
      <w:r>
        <w:t>Council</w:t>
      </w:r>
      <w:r w:rsidRPr="00EA2F26">
        <w:t xml:space="preserve"> develops Strategic Service Management Plans for each asset category. </w:t>
      </w:r>
    </w:p>
    <w:p w:rsidR="00D02973" w:rsidRPr="00EA2F26" w:rsidRDefault="00D02973" w:rsidP="00D02973">
      <w:pPr>
        <w:autoSpaceDE w:val="0"/>
        <w:autoSpaceDN w:val="0"/>
        <w:adjustRightInd w:val="0"/>
        <w:jc w:val="both"/>
      </w:pPr>
      <w:r w:rsidRPr="00EA2F26">
        <w:rPr>
          <w:rFonts w:cs="Calibri"/>
        </w:rPr>
        <w:t xml:space="preserve">The following sections are summaries of Asset Upgrade Strategies that have been adopted by </w:t>
      </w:r>
      <w:r>
        <w:rPr>
          <w:rFonts w:cs="Calibri"/>
        </w:rPr>
        <w:t>Council</w:t>
      </w:r>
      <w:r w:rsidRPr="00EA2F26">
        <w:rPr>
          <w:rFonts w:cs="Calibri"/>
        </w:rPr>
        <w:t xml:space="preserve"> or are in draft form:</w:t>
      </w:r>
    </w:p>
    <w:p w:rsidR="00D02973" w:rsidRPr="00EA2F26" w:rsidRDefault="00D02973" w:rsidP="00D02973">
      <w:pPr>
        <w:rPr>
          <w:rFonts w:cstheme="majorBidi"/>
          <w:color w:val="808080" w:themeColor="background1" w:themeShade="80"/>
          <w:u w:val="single"/>
        </w:rPr>
      </w:pPr>
      <w:r w:rsidRPr="00EA2F26">
        <w:rPr>
          <w:u w:val="single"/>
        </w:rPr>
        <w:t xml:space="preserve">Bayside Open Space Strategy 2012 </w:t>
      </w:r>
    </w:p>
    <w:p w:rsidR="00D02973" w:rsidRPr="00AA1CC4" w:rsidRDefault="00D02973" w:rsidP="00D02973">
      <w:pPr>
        <w:autoSpaceDE w:val="0"/>
        <w:autoSpaceDN w:val="0"/>
        <w:adjustRightInd w:val="0"/>
      </w:pPr>
      <w:r w:rsidRPr="00AA1CC4">
        <w:rPr>
          <w:rFonts w:cs="Times New Roman"/>
        </w:rPr>
        <w:t>The Bayside Open Space Strategy (OSS)</w:t>
      </w:r>
      <w:r w:rsidRPr="00AA1CC4">
        <w:t xml:space="preserve">, is a 20 year planning document for the period 2012-2032. It provides policy and strategy to enable Council to make decisions about how open space is used, developed and managed and maintained across the municipality. Both the Rec&amp;OS-AMP and OSS inform Council’s Long Term Financial Plan to guide long term decision making to sustain and enhance the Bayside open space system and provide a link between strategic planning and the practical, operational delivery and management of Council managed parks, trails and reserves. </w:t>
      </w:r>
    </w:p>
    <w:p w:rsidR="00D02973" w:rsidRPr="00AA1CC4" w:rsidRDefault="00D02973" w:rsidP="00D02973">
      <w:pPr>
        <w:autoSpaceDE w:val="0"/>
        <w:autoSpaceDN w:val="0"/>
        <w:adjustRightInd w:val="0"/>
      </w:pPr>
      <w:r w:rsidRPr="00AA1CC4">
        <w:t xml:space="preserve">As well as setting out the classifications and functional hierarchy, the strategy establishes a vision Bayside Council Open Spaces: </w:t>
      </w:r>
      <w:r w:rsidRPr="00AA1CC4">
        <w:rPr>
          <w:i/>
        </w:rPr>
        <w:t>To cherish open space, to work together to build the open space network in ways that celebrate our strengths, support biodiversity, improve health and wellbeing and community connections, for future and current generations</w:t>
      </w:r>
      <w:r w:rsidRPr="00AA1CC4">
        <w:t xml:space="preserve">. </w:t>
      </w:r>
    </w:p>
    <w:p w:rsidR="00D02973" w:rsidRPr="00AA1CC4" w:rsidRDefault="00D02973" w:rsidP="00D02973">
      <w:pPr>
        <w:autoSpaceDE w:val="0"/>
        <w:autoSpaceDN w:val="0"/>
        <w:adjustRightInd w:val="0"/>
      </w:pPr>
      <w:r w:rsidRPr="00AA1CC4">
        <w:t>The strategy also sets out the following six principals:</w:t>
      </w:r>
    </w:p>
    <w:p w:rsidR="00D02973" w:rsidRPr="00AA1CC4" w:rsidRDefault="00D02973" w:rsidP="00D02973">
      <w:pPr>
        <w:pStyle w:val="ListParagraph"/>
        <w:numPr>
          <w:ilvl w:val="0"/>
          <w:numId w:val="40"/>
        </w:numPr>
        <w:autoSpaceDE w:val="0"/>
        <w:autoSpaceDN w:val="0"/>
        <w:adjustRightInd w:val="0"/>
        <w:rPr>
          <w:rFonts w:asciiTheme="minorHAnsi" w:hAnsiTheme="minorHAnsi"/>
        </w:rPr>
      </w:pPr>
      <w:r w:rsidRPr="00AA1CC4">
        <w:rPr>
          <w:rFonts w:asciiTheme="minorHAnsi" w:hAnsiTheme="minorHAnsi"/>
        </w:rPr>
        <w:t>Accessibility: Availability of open space experiences.</w:t>
      </w:r>
    </w:p>
    <w:p w:rsidR="00D02973" w:rsidRPr="00AA1CC4" w:rsidRDefault="00D02973" w:rsidP="00D02973">
      <w:pPr>
        <w:pStyle w:val="ListParagraph"/>
        <w:numPr>
          <w:ilvl w:val="0"/>
          <w:numId w:val="40"/>
        </w:numPr>
        <w:autoSpaceDE w:val="0"/>
        <w:autoSpaceDN w:val="0"/>
        <w:adjustRightInd w:val="0"/>
        <w:rPr>
          <w:rFonts w:asciiTheme="minorHAnsi" w:hAnsiTheme="minorHAnsi"/>
        </w:rPr>
      </w:pPr>
      <w:r w:rsidRPr="00AA1CC4">
        <w:rPr>
          <w:rFonts w:asciiTheme="minorHAnsi" w:hAnsiTheme="minorHAnsi"/>
        </w:rPr>
        <w:t>Appropriateness: Ability to get the most out of each open space as well as network as a whole.</w:t>
      </w:r>
    </w:p>
    <w:p w:rsidR="00D02973" w:rsidRPr="00AA1CC4" w:rsidRDefault="00D02973" w:rsidP="00D02973">
      <w:pPr>
        <w:pStyle w:val="ListParagraph"/>
        <w:numPr>
          <w:ilvl w:val="0"/>
          <w:numId w:val="40"/>
        </w:numPr>
        <w:autoSpaceDE w:val="0"/>
        <w:autoSpaceDN w:val="0"/>
        <w:adjustRightInd w:val="0"/>
        <w:rPr>
          <w:rFonts w:asciiTheme="minorHAnsi" w:hAnsiTheme="minorHAnsi"/>
        </w:rPr>
      </w:pPr>
      <w:r w:rsidRPr="00AA1CC4">
        <w:rPr>
          <w:rFonts w:asciiTheme="minorHAnsi" w:hAnsiTheme="minorHAnsi"/>
        </w:rPr>
        <w:t>Affordability: Management that is sustainable within Council’s resources.</w:t>
      </w:r>
    </w:p>
    <w:p w:rsidR="00D02973" w:rsidRPr="00AA1CC4" w:rsidRDefault="00D02973" w:rsidP="00D02973">
      <w:pPr>
        <w:pStyle w:val="ListParagraph"/>
        <w:numPr>
          <w:ilvl w:val="0"/>
          <w:numId w:val="40"/>
        </w:numPr>
        <w:autoSpaceDE w:val="0"/>
        <w:autoSpaceDN w:val="0"/>
        <w:adjustRightInd w:val="0"/>
        <w:rPr>
          <w:rFonts w:asciiTheme="minorHAnsi" w:hAnsiTheme="minorHAnsi"/>
        </w:rPr>
      </w:pPr>
      <w:r w:rsidRPr="00AA1CC4">
        <w:rPr>
          <w:rFonts w:asciiTheme="minorHAnsi" w:hAnsiTheme="minorHAnsi"/>
        </w:rPr>
        <w:lastRenderedPageBreak/>
        <w:t>Environmental sustainability: Practices which contribute positively to environment.</w:t>
      </w:r>
    </w:p>
    <w:p w:rsidR="00D02973" w:rsidRPr="00AA1CC4" w:rsidRDefault="00D02973" w:rsidP="00D02973">
      <w:pPr>
        <w:pStyle w:val="ListParagraph"/>
        <w:numPr>
          <w:ilvl w:val="0"/>
          <w:numId w:val="40"/>
        </w:numPr>
        <w:autoSpaceDE w:val="0"/>
        <w:autoSpaceDN w:val="0"/>
        <w:adjustRightInd w:val="0"/>
        <w:rPr>
          <w:rFonts w:asciiTheme="minorHAnsi" w:hAnsiTheme="minorHAnsi"/>
        </w:rPr>
      </w:pPr>
      <w:r w:rsidRPr="00AA1CC4">
        <w:rPr>
          <w:rFonts w:asciiTheme="minorHAnsi" w:hAnsiTheme="minorHAnsi"/>
        </w:rPr>
        <w:t xml:space="preserve">Connections: Physical and visual links between spaces. </w:t>
      </w:r>
    </w:p>
    <w:p w:rsidR="00D02973" w:rsidRPr="00AA1CC4" w:rsidRDefault="00D02973" w:rsidP="00D02973">
      <w:pPr>
        <w:pStyle w:val="ListParagraph"/>
        <w:numPr>
          <w:ilvl w:val="0"/>
          <w:numId w:val="40"/>
        </w:numPr>
        <w:autoSpaceDE w:val="0"/>
        <w:autoSpaceDN w:val="0"/>
        <w:adjustRightInd w:val="0"/>
        <w:rPr>
          <w:rFonts w:asciiTheme="minorHAnsi" w:hAnsiTheme="minorHAnsi"/>
        </w:rPr>
      </w:pPr>
      <w:r w:rsidRPr="00AA1CC4">
        <w:rPr>
          <w:rFonts w:asciiTheme="minorHAnsi" w:hAnsiTheme="minorHAnsi"/>
        </w:rPr>
        <w:t>Communications: Develop, manage and use open space network through sharing of information.</w:t>
      </w:r>
    </w:p>
    <w:p w:rsidR="00D02973" w:rsidRPr="00AA1CC4" w:rsidRDefault="00D02973" w:rsidP="00D02973">
      <w:pPr>
        <w:autoSpaceDE w:val="0"/>
        <w:autoSpaceDN w:val="0"/>
        <w:adjustRightInd w:val="0"/>
      </w:pPr>
      <w:r w:rsidRPr="00AA1CC4">
        <w:t>The key actions arising from the plan are:</w:t>
      </w:r>
    </w:p>
    <w:p w:rsidR="00D02973" w:rsidRPr="00AA1CC4" w:rsidRDefault="00D02973" w:rsidP="00D02973">
      <w:pPr>
        <w:pStyle w:val="ListParagraph"/>
        <w:numPr>
          <w:ilvl w:val="0"/>
          <w:numId w:val="34"/>
        </w:numPr>
        <w:autoSpaceDE w:val="0"/>
        <w:autoSpaceDN w:val="0"/>
        <w:adjustRightInd w:val="0"/>
        <w:rPr>
          <w:rFonts w:asciiTheme="minorHAnsi" w:hAnsiTheme="minorHAnsi"/>
        </w:rPr>
      </w:pPr>
      <w:r w:rsidRPr="00AA1CC4">
        <w:rPr>
          <w:rFonts w:asciiTheme="minorHAnsi" w:hAnsiTheme="minorHAnsi"/>
        </w:rPr>
        <w:t xml:space="preserve">Adequate reporting to ensure no net loss of open space </w:t>
      </w:r>
    </w:p>
    <w:p w:rsidR="00D02973" w:rsidRPr="00AA1CC4" w:rsidRDefault="00D02973" w:rsidP="00D02973">
      <w:pPr>
        <w:pStyle w:val="ListParagraph"/>
        <w:numPr>
          <w:ilvl w:val="0"/>
          <w:numId w:val="34"/>
        </w:numPr>
        <w:autoSpaceDE w:val="0"/>
        <w:autoSpaceDN w:val="0"/>
        <w:adjustRightInd w:val="0"/>
        <w:rPr>
          <w:rFonts w:asciiTheme="minorHAnsi" w:hAnsiTheme="minorHAnsi"/>
        </w:rPr>
      </w:pPr>
      <w:r w:rsidRPr="00AA1CC4">
        <w:rPr>
          <w:rFonts w:asciiTheme="minorHAnsi" w:hAnsiTheme="minorHAnsi"/>
        </w:rPr>
        <w:t>Development of management plans for each individual open space</w:t>
      </w:r>
    </w:p>
    <w:p w:rsidR="00D02973" w:rsidRPr="00AA1CC4" w:rsidRDefault="00D02973" w:rsidP="00D02973">
      <w:pPr>
        <w:pStyle w:val="ListParagraph"/>
        <w:numPr>
          <w:ilvl w:val="0"/>
          <w:numId w:val="34"/>
        </w:numPr>
        <w:autoSpaceDE w:val="0"/>
        <w:autoSpaceDN w:val="0"/>
        <w:adjustRightInd w:val="0"/>
        <w:rPr>
          <w:rFonts w:asciiTheme="minorHAnsi" w:hAnsiTheme="minorHAnsi"/>
        </w:rPr>
      </w:pPr>
      <w:r w:rsidRPr="00AA1CC4">
        <w:rPr>
          <w:rFonts w:asciiTheme="minorHAnsi" w:hAnsiTheme="minorHAnsi"/>
        </w:rPr>
        <w:t>Rezoning inappropriately zoned land</w:t>
      </w:r>
    </w:p>
    <w:p w:rsidR="00D02973" w:rsidRPr="00AA1CC4" w:rsidRDefault="00D02973" w:rsidP="00D02973">
      <w:pPr>
        <w:pStyle w:val="ListParagraph"/>
        <w:numPr>
          <w:ilvl w:val="0"/>
          <w:numId w:val="34"/>
        </w:numPr>
        <w:autoSpaceDE w:val="0"/>
        <w:autoSpaceDN w:val="0"/>
        <w:adjustRightInd w:val="0"/>
        <w:rPr>
          <w:rFonts w:asciiTheme="minorHAnsi" w:hAnsiTheme="minorHAnsi"/>
        </w:rPr>
      </w:pPr>
      <w:r w:rsidRPr="00AA1CC4">
        <w:rPr>
          <w:rFonts w:asciiTheme="minorHAnsi" w:hAnsiTheme="minorHAnsi"/>
        </w:rPr>
        <w:t>Investigating spaces which may warrant rezoning</w:t>
      </w:r>
    </w:p>
    <w:p w:rsidR="00D02973" w:rsidRPr="00AA1CC4" w:rsidRDefault="00D02973" w:rsidP="00D02973">
      <w:pPr>
        <w:pStyle w:val="ListParagraph"/>
        <w:numPr>
          <w:ilvl w:val="0"/>
          <w:numId w:val="34"/>
        </w:numPr>
        <w:autoSpaceDE w:val="0"/>
        <w:autoSpaceDN w:val="0"/>
        <w:adjustRightInd w:val="0"/>
        <w:rPr>
          <w:rFonts w:asciiTheme="minorHAnsi" w:hAnsiTheme="minorHAnsi"/>
        </w:rPr>
      </w:pPr>
      <w:r w:rsidRPr="00AA1CC4">
        <w:rPr>
          <w:rFonts w:asciiTheme="minorHAnsi" w:hAnsiTheme="minorHAnsi"/>
        </w:rPr>
        <w:t>Develop policy for dogs in open space</w:t>
      </w:r>
    </w:p>
    <w:p w:rsidR="00D02973" w:rsidRPr="00AA1CC4" w:rsidRDefault="00D02973" w:rsidP="00D02973">
      <w:pPr>
        <w:pStyle w:val="ListParagraph"/>
        <w:numPr>
          <w:ilvl w:val="0"/>
          <w:numId w:val="34"/>
        </w:numPr>
        <w:autoSpaceDE w:val="0"/>
        <w:autoSpaceDN w:val="0"/>
        <w:adjustRightInd w:val="0"/>
        <w:rPr>
          <w:rFonts w:asciiTheme="minorHAnsi" w:hAnsiTheme="minorHAnsi"/>
        </w:rPr>
      </w:pPr>
      <w:r w:rsidRPr="00AA1CC4">
        <w:rPr>
          <w:rFonts w:asciiTheme="minorHAnsi" w:hAnsiTheme="minorHAnsi"/>
        </w:rPr>
        <w:t>Develop policy for commercial advertising in open spaces</w:t>
      </w:r>
    </w:p>
    <w:p w:rsidR="00D02973" w:rsidRPr="00AA1CC4" w:rsidRDefault="00D02973" w:rsidP="00D02973">
      <w:pPr>
        <w:pStyle w:val="ListParagraph"/>
        <w:numPr>
          <w:ilvl w:val="0"/>
          <w:numId w:val="34"/>
        </w:numPr>
        <w:autoSpaceDE w:val="0"/>
        <w:autoSpaceDN w:val="0"/>
        <w:adjustRightInd w:val="0"/>
        <w:rPr>
          <w:rFonts w:asciiTheme="minorHAnsi" w:hAnsiTheme="minorHAnsi"/>
        </w:rPr>
      </w:pPr>
      <w:r w:rsidRPr="00AA1CC4">
        <w:rPr>
          <w:rFonts w:asciiTheme="minorHAnsi" w:hAnsiTheme="minorHAnsi"/>
        </w:rPr>
        <w:t>Review fees charges and lease arrangements</w:t>
      </w:r>
    </w:p>
    <w:p w:rsidR="00D02973" w:rsidRPr="00AA1CC4" w:rsidRDefault="00D02973" w:rsidP="00D02973">
      <w:pPr>
        <w:pStyle w:val="ListParagraph"/>
        <w:numPr>
          <w:ilvl w:val="0"/>
          <w:numId w:val="34"/>
        </w:numPr>
        <w:autoSpaceDE w:val="0"/>
        <w:autoSpaceDN w:val="0"/>
        <w:adjustRightInd w:val="0"/>
        <w:rPr>
          <w:rFonts w:asciiTheme="minorHAnsi" w:hAnsiTheme="minorHAnsi"/>
        </w:rPr>
      </w:pPr>
      <w:r w:rsidRPr="00AA1CC4">
        <w:rPr>
          <w:rFonts w:asciiTheme="minorHAnsi" w:hAnsiTheme="minorHAnsi"/>
        </w:rPr>
        <w:t>Review service levels and operational funding of open spaces</w:t>
      </w:r>
    </w:p>
    <w:p w:rsidR="00D02973" w:rsidRPr="00AA1CC4" w:rsidRDefault="00D02973" w:rsidP="00D02973">
      <w:pPr>
        <w:pStyle w:val="ListParagraph"/>
        <w:numPr>
          <w:ilvl w:val="0"/>
          <w:numId w:val="34"/>
        </w:numPr>
        <w:autoSpaceDE w:val="0"/>
        <w:autoSpaceDN w:val="0"/>
        <w:adjustRightInd w:val="0"/>
        <w:rPr>
          <w:rFonts w:asciiTheme="minorHAnsi" w:hAnsiTheme="minorHAnsi"/>
        </w:rPr>
      </w:pPr>
      <w:r w:rsidRPr="00AA1CC4">
        <w:rPr>
          <w:rFonts w:asciiTheme="minorHAnsi" w:hAnsiTheme="minorHAnsi"/>
        </w:rPr>
        <w:t>Development of design standards for open space infrastructure</w:t>
      </w:r>
    </w:p>
    <w:p w:rsidR="00D02973" w:rsidRPr="00AA1CC4" w:rsidRDefault="00D02973" w:rsidP="00D02973">
      <w:pPr>
        <w:pStyle w:val="ListParagraph"/>
        <w:numPr>
          <w:ilvl w:val="0"/>
          <w:numId w:val="34"/>
        </w:numPr>
        <w:autoSpaceDE w:val="0"/>
        <w:autoSpaceDN w:val="0"/>
        <w:adjustRightInd w:val="0"/>
        <w:rPr>
          <w:rFonts w:asciiTheme="minorHAnsi" w:hAnsiTheme="minorHAnsi"/>
        </w:rPr>
      </w:pPr>
      <w:r w:rsidRPr="00AA1CC4">
        <w:rPr>
          <w:rFonts w:asciiTheme="minorHAnsi" w:hAnsiTheme="minorHAnsi"/>
        </w:rPr>
        <w:t xml:space="preserve">Development of community gardens. </w:t>
      </w:r>
    </w:p>
    <w:p w:rsidR="00D02973" w:rsidRPr="00AA1CC4" w:rsidRDefault="00D02973" w:rsidP="00D02973">
      <w:pPr>
        <w:pStyle w:val="ListParagraph"/>
        <w:numPr>
          <w:ilvl w:val="0"/>
          <w:numId w:val="34"/>
        </w:numPr>
        <w:autoSpaceDE w:val="0"/>
        <w:autoSpaceDN w:val="0"/>
        <w:adjustRightInd w:val="0"/>
        <w:rPr>
          <w:rFonts w:asciiTheme="minorHAnsi" w:hAnsiTheme="minorHAnsi"/>
        </w:rPr>
      </w:pPr>
      <w:r w:rsidRPr="00AA1CC4">
        <w:rPr>
          <w:rFonts w:asciiTheme="minorHAnsi" w:hAnsiTheme="minorHAnsi"/>
        </w:rPr>
        <w:t xml:space="preserve">Development of trail strategy </w:t>
      </w:r>
    </w:p>
    <w:p w:rsidR="00D02973" w:rsidRPr="00AA1CC4" w:rsidRDefault="00D02973" w:rsidP="00D02973">
      <w:pPr>
        <w:pStyle w:val="ListParagraph"/>
        <w:numPr>
          <w:ilvl w:val="0"/>
          <w:numId w:val="34"/>
        </w:numPr>
        <w:autoSpaceDE w:val="0"/>
        <w:autoSpaceDN w:val="0"/>
        <w:adjustRightInd w:val="0"/>
        <w:rPr>
          <w:rFonts w:asciiTheme="minorHAnsi" w:hAnsiTheme="minorHAnsi"/>
        </w:rPr>
      </w:pPr>
      <w:r w:rsidRPr="00AA1CC4">
        <w:rPr>
          <w:rFonts w:asciiTheme="minorHAnsi" w:hAnsiTheme="minorHAnsi"/>
        </w:rPr>
        <w:t xml:space="preserve">Encourage awareness and multiuse of facilities. </w:t>
      </w:r>
    </w:p>
    <w:p w:rsidR="00D02973" w:rsidRPr="00EA2F26" w:rsidRDefault="00D02973" w:rsidP="00D02973">
      <w:pPr>
        <w:autoSpaceDE w:val="0"/>
        <w:autoSpaceDN w:val="0"/>
        <w:adjustRightInd w:val="0"/>
      </w:pPr>
      <w:r>
        <w:t>As these actions are completed further understanding of the costs of upgrading existing or constructing new assets will be available for future versions of this document.</w:t>
      </w:r>
    </w:p>
    <w:p w:rsidR="00D02973" w:rsidRPr="00EA2F26" w:rsidRDefault="00D02973" w:rsidP="00D02973">
      <w:pPr>
        <w:spacing w:before="80"/>
        <w:rPr>
          <w:rFonts w:eastAsia="Calibri" w:cs="Calibri"/>
          <w:u w:val="single"/>
          <w:lang w:eastAsia="en-AU"/>
        </w:rPr>
      </w:pPr>
      <w:r w:rsidRPr="00EA2F26">
        <w:rPr>
          <w:rFonts w:eastAsia="Calibri" w:cs="Calibri"/>
          <w:u w:val="single"/>
          <w:lang w:eastAsia="en-AU"/>
        </w:rPr>
        <w:t>Recreation Strategy (2013-2022)</w:t>
      </w:r>
    </w:p>
    <w:p w:rsidR="00D02973" w:rsidRPr="00EA2F26" w:rsidRDefault="00D02973" w:rsidP="00D02973">
      <w:pPr>
        <w:spacing w:before="80"/>
        <w:jc w:val="both"/>
        <w:rPr>
          <w:rFonts w:eastAsia="Calibri" w:cs="Calibri"/>
          <w:lang w:eastAsia="en-AU"/>
        </w:rPr>
      </w:pPr>
      <w:r w:rsidRPr="00EA2F26">
        <w:rPr>
          <w:rFonts w:eastAsia="Calibri" w:cs="Calibri"/>
          <w:lang w:eastAsia="en-AU"/>
        </w:rPr>
        <w:t xml:space="preserve">The Active by the Bay recreation strategy guides the planning, management and provision of recreation facilities and services in the City of Bayside for 2013-2022. The strategy is aimed at a demographic analysis of the City of Bayside, comprehensive analysis of relevant </w:t>
      </w:r>
      <w:r>
        <w:rPr>
          <w:rFonts w:eastAsia="Calibri" w:cs="Calibri"/>
          <w:lang w:eastAsia="en-AU"/>
        </w:rPr>
        <w:t>Council</w:t>
      </w:r>
      <w:r w:rsidRPr="00EA2F26">
        <w:rPr>
          <w:rFonts w:eastAsia="Calibri" w:cs="Calibri"/>
          <w:lang w:eastAsia="en-AU"/>
        </w:rPr>
        <w:t xml:space="preserve"> and external strategy and policy documents, research into recreation trends and best practice at local, state and national levels and extensive engagement with the community including residents and recreation and sporting groups.  </w:t>
      </w:r>
    </w:p>
    <w:p w:rsidR="00D02973" w:rsidRPr="00EA2F26" w:rsidRDefault="00D02973" w:rsidP="00D02973">
      <w:pPr>
        <w:spacing w:before="80"/>
        <w:jc w:val="both"/>
        <w:rPr>
          <w:rFonts w:eastAsia="Calibri" w:cs="Calibri"/>
          <w:lang w:eastAsia="en-AU"/>
        </w:rPr>
      </w:pPr>
      <w:r w:rsidRPr="00EA2F26">
        <w:rPr>
          <w:rFonts w:eastAsia="Calibri" w:cs="Calibri"/>
          <w:lang w:eastAsia="en-AU"/>
        </w:rPr>
        <w:t xml:space="preserve">The strategy identified and ranked a range of infrastructure works for Bayside. The works identified include the renewal and upgrades to cricket nets, floodlighting and sportsground surfaces. </w:t>
      </w:r>
    </w:p>
    <w:p w:rsidR="00D02973" w:rsidRDefault="00D02973" w:rsidP="00D02973">
      <w:pPr>
        <w:autoSpaceDE w:val="0"/>
        <w:autoSpaceDN w:val="0"/>
        <w:adjustRightInd w:val="0"/>
      </w:pPr>
      <w:r w:rsidRPr="00EA2F26">
        <w:t xml:space="preserve">Of these works </w:t>
      </w:r>
      <w:r>
        <w:t xml:space="preserve">recommended, </w:t>
      </w:r>
      <w:r w:rsidRPr="00EA2F26">
        <w:t xml:space="preserve">the cricket net upgrades will be completed in 2015/16. Sportsground lighting upgrades will be completed in 2017/18. A sportsground improvement plan which sets </w:t>
      </w:r>
      <w:r>
        <w:t>Council’</w:t>
      </w:r>
      <w:r w:rsidRPr="00EA2F26">
        <w:t>s spending plan for the next 10 years has been developed. Each of these elements have been incorporated into the LTFP.</w:t>
      </w:r>
    </w:p>
    <w:p w:rsidR="00AA1CC4" w:rsidRDefault="00AA1CC4">
      <w:pPr>
        <w:spacing w:after="160" w:line="259" w:lineRule="auto"/>
        <w:rPr>
          <w:b/>
        </w:rPr>
      </w:pPr>
      <w:r>
        <w:rPr>
          <w:b/>
        </w:rPr>
        <w:br w:type="page"/>
      </w:r>
    </w:p>
    <w:p w:rsidR="00D02973" w:rsidRPr="00CD71BC" w:rsidRDefault="00D02973" w:rsidP="00D02973">
      <w:pPr>
        <w:pStyle w:val="Para2"/>
        <w:spacing w:after="200" w:line="276" w:lineRule="auto"/>
        <w:ind w:left="0"/>
        <w:jc w:val="both"/>
        <w:rPr>
          <w:rFonts w:asciiTheme="minorHAnsi" w:eastAsiaTheme="minorHAnsi" w:hAnsiTheme="minorHAnsi" w:cstheme="minorBidi"/>
          <w:b/>
          <w:color w:val="auto"/>
          <w:sz w:val="22"/>
          <w:szCs w:val="22"/>
          <w:lang w:val="en-AU" w:eastAsia="en-US"/>
        </w:rPr>
      </w:pPr>
      <w:r w:rsidRPr="00EA2F26">
        <w:rPr>
          <w:rFonts w:asciiTheme="minorHAnsi" w:eastAsiaTheme="minorHAnsi" w:hAnsiTheme="minorHAnsi" w:cstheme="minorBidi"/>
          <w:b/>
          <w:color w:val="auto"/>
          <w:sz w:val="22"/>
          <w:szCs w:val="22"/>
          <w:lang w:val="en-AU" w:eastAsia="en-US"/>
        </w:rPr>
        <w:lastRenderedPageBreak/>
        <w:t xml:space="preserve">Table 6: </w:t>
      </w:r>
      <w:r>
        <w:rPr>
          <w:rFonts w:asciiTheme="minorHAnsi" w:eastAsiaTheme="minorHAnsi" w:hAnsiTheme="minorHAnsi" w:cstheme="minorBidi"/>
          <w:b/>
          <w:color w:val="auto"/>
          <w:sz w:val="22"/>
          <w:szCs w:val="22"/>
          <w:lang w:val="en-AU" w:eastAsia="en-US"/>
        </w:rPr>
        <w:t>Sportsground improvement 10 Year Costs</w:t>
      </w:r>
    </w:p>
    <w:tbl>
      <w:tblPr>
        <w:tblStyle w:val="TableGrid"/>
        <w:tblW w:w="9209" w:type="dxa"/>
        <w:tblLook w:val="04A0" w:firstRow="1" w:lastRow="0" w:firstColumn="1" w:lastColumn="0" w:noHBand="0" w:noVBand="1"/>
      </w:tblPr>
      <w:tblGrid>
        <w:gridCol w:w="945"/>
        <w:gridCol w:w="945"/>
        <w:gridCol w:w="945"/>
        <w:gridCol w:w="945"/>
        <w:gridCol w:w="945"/>
        <w:gridCol w:w="945"/>
        <w:gridCol w:w="945"/>
        <w:gridCol w:w="945"/>
        <w:gridCol w:w="945"/>
        <w:gridCol w:w="945"/>
      </w:tblGrid>
      <w:tr w:rsidR="00D02973" w:rsidRPr="00EA2F26" w:rsidTr="00AA1CC4">
        <w:tc>
          <w:tcPr>
            <w:tcW w:w="901" w:type="dxa"/>
            <w:shd w:val="clear" w:color="auto" w:fill="000000" w:themeFill="text1"/>
          </w:tcPr>
          <w:p w:rsidR="00D02973" w:rsidRPr="00217945" w:rsidRDefault="00D02973" w:rsidP="00DF2FAC">
            <w:pPr>
              <w:spacing w:before="120"/>
              <w:jc w:val="both"/>
              <w:rPr>
                <w:b/>
                <w:color w:val="FFFFFF" w:themeColor="background1"/>
                <w:sz w:val="16"/>
                <w:szCs w:val="16"/>
              </w:rPr>
            </w:pPr>
            <w:r w:rsidRPr="00217945">
              <w:rPr>
                <w:b/>
                <w:color w:val="FFFFFF" w:themeColor="background1"/>
                <w:sz w:val="16"/>
                <w:szCs w:val="16"/>
              </w:rPr>
              <w:t>2015/16</w:t>
            </w:r>
          </w:p>
        </w:tc>
        <w:tc>
          <w:tcPr>
            <w:tcW w:w="901" w:type="dxa"/>
            <w:shd w:val="clear" w:color="auto" w:fill="000000" w:themeFill="text1"/>
          </w:tcPr>
          <w:p w:rsidR="00D02973" w:rsidRPr="00217945" w:rsidRDefault="00D02973" w:rsidP="00DF2FAC">
            <w:pPr>
              <w:spacing w:before="120"/>
              <w:jc w:val="both"/>
              <w:rPr>
                <w:b/>
                <w:color w:val="FFFFFF" w:themeColor="background1"/>
                <w:sz w:val="16"/>
                <w:szCs w:val="16"/>
              </w:rPr>
            </w:pPr>
            <w:r w:rsidRPr="00217945">
              <w:rPr>
                <w:b/>
                <w:color w:val="FFFFFF" w:themeColor="background1"/>
                <w:sz w:val="16"/>
                <w:szCs w:val="16"/>
              </w:rPr>
              <w:t>2016/17</w:t>
            </w:r>
          </w:p>
        </w:tc>
        <w:tc>
          <w:tcPr>
            <w:tcW w:w="901" w:type="dxa"/>
            <w:shd w:val="clear" w:color="auto" w:fill="000000" w:themeFill="text1"/>
          </w:tcPr>
          <w:p w:rsidR="00D02973" w:rsidRPr="00217945" w:rsidRDefault="00D02973" w:rsidP="00DF2FAC">
            <w:pPr>
              <w:spacing w:before="120"/>
              <w:jc w:val="both"/>
              <w:rPr>
                <w:b/>
                <w:color w:val="FFFFFF" w:themeColor="background1"/>
                <w:sz w:val="16"/>
                <w:szCs w:val="16"/>
              </w:rPr>
            </w:pPr>
            <w:r w:rsidRPr="00217945">
              <w:rPr>
                <w:b/>
                <w:color w:val="FFFFFF" w:themeColor="background1"/>
                <w:sz w:val="16"/>
                <w:szCs w:val="16"/>
              </w:rPr>
              <w:t>2017/18</w:t>
            </w:r>
          </w:p>
        </w:tc>
        <w:tc>
          <w:tcPr>
            <w:tcW w:w="902" w:type="dxa"/>
            <w:shd w:val="clear" w:color="auto" w:fill="000000" w:themeFill="text1"/>
          </w:tcPr>
          <w:p w:rsidR="00D02973" w:rsidRPr="00217945" w:rsidRDefault="00D02973" w:rsidP="00DF2FAC">
            <w:pPr>
              <w:spacing w:before="120"/>
              <w:jc w:val="both"/>
              <w:rPr>
                <w:b/>
                <w:color w:val="FFFFFF" w:themeColor="background1"/>
                <w:sz w:val="16"/>
                <w:szCs w:val="16"/>
              </w:rPr>
            </w:pPr>
            <w:r w:rsidRPr="00217945">
              <w:rPr>
                <w:b/>
                <w:color w:val="FFFFFF" w:themeColor="background1"/>
                <w:sz w:val="16"/>
                <w:szCs w:val="16"/>
              </w:rPr>
              <w:t>2018/19</w:t>
            </w:r>
          </w:p>
        </w:tc>
        <w:tc>
          <w:tcPr>
            <w:tcW w:w="902" w:type="dxa"/>
            <w:shd w:val="clear" w:color="auto" w:fill="000000" w:themeFill="text1"/>
          </w:tcPr>
          <w:p w:rsidR="00D02973" w:rsidRPr="00217945" w:rsidRDefault="00D02973" w:rsidP="00DF2FAC">
            <w:pPr>
              <w:spacing w:before="120"/>
              <w:jc w:val="both"/>
              <w:rPr>
                <w:b/>
                <w:color w:val="FFFFFF" w:themeColor="background1"/>
                <w:sz w:val="16"/>
                <w:szCs w:val="16"/>
              </w:rPr>
            </w:pPr>
            <w:r w:rsidRPr="00217945">
              <w:rPr>
                <w:b/>
                <w:color w:val="FFFFFF" w:themeColor="background1"/>
                <w:sz w:val="16"/>
                <w:szCs w:val="16"/>
              </w:rPr>
              <w:t>2019/20</w:t>
            </w:r>
          </w:p>
        </w:tc>
        <w:tc>
          <w:tcPr>
            <w:tcW w:w="902" w:type="dxa"/>
            <w:shd w:val="clear" w:color="auto" w:fill="000000" w:themeFill="text1"/>
          </w:tcPr>
          <w:p w:rsidR="00D02973" w:rsidRPr="00217945" w:rsidRDefault="00D02973" w:rsidP="00DF2FAC">
            <w:pPr>
              <w:spacing w:before="120"/>
              <w:jc w:val="both"/>
              <w:rPr>
                <w:b/>
                <w:color w:val="FFFFFF" w:themeColor="background1"/>
                <w:sz w:val="16"/>
                <w:szCs w:val="16"/>
              </w:rPr>
            </w:pPr>
            <w:r w:rsidRPr="00217945">
              <w:rPr>
                <w:b/>
                <w:color w:val="FFFFFF" w:themeColor="background1"/>
                <w:sz w:val="16"/>
                <w:szCs w:val="16"/>
              </w:rPr>
              <w:t>2020/21</w:t>
            </w:r>
          </w:p>
        </w:tc>
        <w:tc>
          <w:tcPr>
            <w:tcW w:w="902" w:type="dxa"/>
            <w:shd w:val="clear" w:color="auto" w:fill="000000" w:themeFill="text1"/>
          </w:tcPr>
          <w:p w:rsidR="00D02973" w:rsidRPr="00217945" w:rsidRDefault="00D02973" w:rsidP="00DF2FAC">
            <w:pPr>
              <w:spacing w:before="120"/>
              <w:jc w:val="both"/>
              <w:rPr>
                <w:b/>
                <w:color w:val="FFFFFF" w:themeColor="background1"/>
                <w:sz w:val="16"/>
                <w:szCs w:val="16"/>
              </w:rPr>
            </w:pPr>
            <w:r w:rsidRPr="00217945">
              <w:rPr>
                <w:b/>
                <w:color w:val="FFFFFF" w:themeColor="background1"/>
                <w:sz w:val="16"/>
                <w:szCs w:val="16"/>
              </w:rPr>
              <w:t>2021/22</w:t>
            </w:r>
          </w:p>
        </w:tc>
        <w:tc>
          <w:tcPr>
            <w:tcW w:w="902" w:type="dxa"/>
            <w:shd w:val="clear" w:color="auto" w:fill="000000" w:themeFill="text1"/>
          </w:tcPr>
          <w:p w:rsidR="00D02973" w:rsidRPr="00217945" w:rsidRDefault="00D02973" w:rsidP="00DF2FAC">
            <w:pPr>
              <w:spacing w:before="120"/>
              <w:jc w:val="both"/>
              <w:rPr>
                <w:b/>
                <w:color w:val="FFFFFF" w:themeColor="background1"/>
                <w:sz w:val="16"/>
                <w:szCs w:val="16"/>
              </w:rPr>
            </w:pPr>
            <w:r w:rsidRPr="00217945">
              <w:rPr>
                <w:b/>
                <w:color w:val="FFFFFF" w:themeColor="background1"/>
                <w:sz w:val="16"/>
                <w:szCs w:val="16"/>
              </w:rPr>
              <w:t>2022/23</w:t>
            </w:r>
          </w:p>
        </w:tc>
        <w:tc>
          <w:tcPr>
            <w:tcW w:w="902" w:type="dxa"/>
            <w:shd w:val="clear" w:color="auto" w:fill="000000" w:themeFill="text1"/>
          </w:tcPr>
          <w:p w:rsidR="00D02973" w:rsidRPr="00217945" w:rsidRDefault="00D02973" w:rsidP="00DF2FAC">
            <w:pPr>
              <w:spacing w:before="120"/>
              <w:jc w:val="both"/>
              <w:rPr>
                <w:b/>
                <w:color w:val="FFFFFF" w:themeColor="background1"/>
                <w:sz w:val="16"/>
                <w:szCs w:val="16"/>
              </w:rPr>
            </w:pPr>
            <w:r w:rsidRPr="00217945">
              <w:rPr>
                <w:b/>
                <w:color w:val="FFFFFF" w:themeColor="background1"/>
                <w:sz w:val="16"/>
                <w:szCs w:val="16"/>
              </w:rPr>
              <w:t>2023/24</w:t>
            </w:r>
          </w:p>
        </w:tc>
        <w:tc>
          <w:tcPr>
            <w:tcW w:w="1094" w:type="dxa"/>
            <w:shd w:val="clear" w:color="auto" w:fill="000000" w:themeFill="text1"/>
          </w:tcPr>
          <w:p w:rsidR="00D02973" w:rsidRPr="00217945" w:rsidRDefault="00D02973" w:rsidP="00DF2FAC">
            <w:pPr>
              <w:spacing w:before="120"/>
              <w:jc w:val="both"/>
              <w:rPr>
                <w:b/>
                <w:color w:val="FFFFFF" w:themeColor="background1"/>
                <w:sz w:val="16"/>
                <w:szCs w:val="16"/>
              </w:rPr>
            </w:pPr>
            <w:r w:rsidRPr="00217945">
              <w:rPr>
                <w:b/>
                <w:color w:val="FFFFFF" w:themeColor="background1"/>
                <w:sz w:val="16"/>
                <w:szCs w:val="16"/>
              </w:rPr>
              <w:t>2024/25</w:t>
            </w:r>
          </w:p>
        </w:tc>
      </w:tr>
      <w:tr w:rsidR="00D02973" w:rsidRPr="00EA2F26" w:rsidTr="00AA1CC4">
        <w:tc>
          <w:tcPr>
            <w:tcW w:w="901" w:type="dxa"/>
            <w:vAlign w:val="bottom"/>
          </w:tcPr>
          <w:p w:rsidR="00D02973" w:rsidRPr="00CD71BC" w:rsidRDefault="00D02973" w:rsidP="00DF2FAC">
            <w:pPr>
              <w:spacing w:before="120"/>
              <w:jc w:val="both"/>
              <w:rPr>
                <w:sz w:val="16"/>
                <w:szCs w:val="16"/>
              </w:rPr>
            </w:pPr>
            <w:r>
              <w:rPr>
                <w:rFonts w:cs="Arial"/>
                <w:sz w:val="16"/>
                <w:szCs w:val="20"/>
              </w:rPr>
              <w:t>$2,205,000</w:t>
            </w:r>
          </w:p>
        </w:tc>
        <w:tc>
          <w:tcPr>
            <w:tcW w:w="901" w:type="dxa"/>
            <w:vAlign w:val="bottom"/>
          </w:tcPr>
          <w:p w:rsidR="00D02973" w:rsidRPr="00CD71BC" w:rsidRDefault="00D02973" w:rsidP="00DF2FAC">
            <w:pPr>
              <w:spacing w:before="120"/>
              <w:jc w:val="both"/>
              <w:rPr>
                <w:sz w:val="16"/>
                <w:szCs w:val="16"/>
              </w:rPr>
            </w:pPr>
            <w:r>
              <w:rPr>
                <w:rFonts w:cs="Arial"/>
                <w:sz w:val="16"/>
                <w:szCs w:val="20"/>
              </w:rPr>
              <w:t>$2,439,000</w:t>
            </w:r>
          </w:p>
        </w:tc>
        <w:tc>
          <w:tcPr>
            <w:tcW w:w="901" w:type="dxa"/>
            <w:vAlign w:val="bottom"/>
          </w:tcPr>
          <w:p w:rsidR="00D02973" w:rsidRPr="00CD71BC" w:rsidRDefault="00D02973" w:rsidP="00DF2FAC">
            <w:pPr>
              <w:spacing w:before="120"/>
              <w:jc w:val="both"/>
              <w:rPr>
                <w:sz w:val="16"/>
                <w:szCs w:val="16"/>
              </w:rPr>
            </w:pPr>
            <w:r>
              <w:rPr>
                <w:rFonts w:cs="Arial"/>
                <w:sz w:val="16"/>
                <w:szCs w:val="20"/>
              </w:rPr>
              <w:t>$3,781,000</w:t>
            </w:r>
          </w:p>
        </w:tc>
        <w:tc>
          <w:tcPr>
            <w:tcW w:w="902" w:type="dxa"/>
            <w:vAlign w:val="bottom"/>
          </w:tcPr>
          <w:p w:rsidR="00D02973" w:rsidRPr="00CD71BC" w:rsidRDefault="00D02973" w:rsidP="00DF2FAC">
            <w:pPr>
              <w:spacing w:before="120"/>
              <w:jc w:val="both"/>
              <w:rPr>
                <w:sz w:val="16"/>
                <w:szCs w:val="16"/>
              </w:rPr>
            </w:pPr>
            <w:r>
              <w:rPr>
                <w:rFonts w:cs="Arial"/>
                <w:sz w:val="16"/>
                <w:szCs w:val="20"/>
              </w:rPr>
              <w:t>$4,630,000</w:t>
            </w:r>
          </w:p>
        </w:tc>
        <w:tc>
          <w:tcPr>
            <w:tcW w:w="902" w:type="dxa"/>
            <w:vAlign w:val="bottom"/>
          </w:tcPr>
          <w:p w:rsidR="00D02973" w:rsidRPr="00CD71BC" w:rsidRDefault="00D02973" w:rsidP="00DF2FAC">
            <w:pPr>
              <w:spacing w:before="120"/>
              <w:jc w:val="both"/>
              <w:rPr>
                <w:sz w:val="16"/>
                <w:szCs w:val="16"/>
              </w:rPr>
            </w:pPr>
            <w:r>
              <w:rPr>
                <w:rFonts w:cs="Arial"/>
                <w:sz w:val="16"/>
                <w:szCs w:val="20"/>
              </w:rPr>
              <w:t>$2,458,000</w:t>
            </w:r>
          </w:p>
        </w:tc>
        <w:tc>
          <w:tcPr>
            <w:tcW w:w="902" w:type="dxa"/>
            <w:vAlign w:val="bottom"/>
          </w:tcPr>
          <w:p w:rsidR="00D02973" w:rsidRPr="00CD71BC" w:rsidRDefault="00D02973" w:rsidP="00DF2FAC">
            <w:pPr>
              <w:spacing w:before="120"/>
              <w:jc w:val="both"/>
              <w:rPr>
                <w:sz w:val="16"/>
                <w:szCs w:val="16"/>
              </w:rPr>
            </w:pPr>
            <w:r>
              <w:rPr>
                <w:rFonts w:cs="Arial"/>
                <w:sz w:val="16"/>
                <w:szCs w:val="20"/>
              </w:rPr>
              <w:t>$2,557,000</w:t>
            </w:r>
          </w:p>
        </w:tc>
        <w:tc>
          <w:tcPr>
            <w:tcW w:w="902" w:type="dxa"/>
            <w:vAlign w:val="bottom"/>
          </w:tcPr>
          <w:p w:rsidR="00D02973" w:rsidRPr="00CD71BC" w:rsidRDefault="00D02973" w:rsidP="00DF2FAC">
            <w:pPr>
              <w:spacing w:before="120"/>
              <w:jc w:val="both"/>
              <w:rPr>
                <w:sz w:val="16"/>
                <w:szCs w:val="16"/>
              </w:rPr>
            </w:pPr>
            <w:r>
              <w:rPr>
                <w:rFonts w:cs="Arial"/>
                <w:sz w:val="16"/>
                <w:szCs w:val="20"/>
              </w:rPr>
              <w:t>$2,661,000</w:t>
            </w:r>
          </w:p>
        </w:tc>
        <w:tc>
          <w:tcPr>
            <w:tcW w:w="902" w:type="dxa"/>
            <w:vAlign w:val="bottom"/>
          </w:tcPr>
          <w:p w:rsidR="00D02973" w:rsidRPr="00CD71BC" w:rsidRDefault="00D02973" w:rsidP="00DF2FAC">
            <w:pPr>
              <w:spacing w:before="120"/>
              <w:jc w:val="both"/>
              <w:rPr>
                <w:sz w:val="16"/>
                <w:szCs w:val="16"/>
              </w:rPr>
            </w:pPr>
            <w:r>
              <w:rPr>
                <w:rFonts w:cs="Arial"/>
                <w:sz w:val="16"/>
                <w:szCs w:val="20"/>
              </w:rPr>
              <w:t>$2,769,000</w:t>
            </w:r>
          </w:p>
        </w:tc>
        <w:tc>
          <w:tcPr>
            <w:tcW w:w="902" w:type="dxa"/>
            <w:vAlign w:val="bottom"/>
          </w:tcPr>
          <w:p w:rsidR="00D02973" w:rsidRPr="00CD71BC" w:rsidRDefault="00D02973" w:rsidP="00DF2FAC">
            <w:pPr>
              <w:spacing w:before="120"/>
              <w:jc w:val="both"/>
              <w:rPr>
                <w:sz w:val="16"/>
                <w:szCs w:val="16"/>
              </w:rPr>
            </w:pPr>
            <w:r>
              <w:rPr>
                <w:rFonts w:cs="Arial"/>
                <w:sz w:val="16"/>
                <w:szCs w:val="20"/>
              </w:rPr>
              <w:t>$2,881,000</w:t>
            </w:r>
          </w:p>
        </w:tc>
        <w:tc>
          <w:tcPr>
            <w:tcW w:w="1094" w:type="dxa"/>
            <w:vAlign w:val="bottom"/>
          </w:tcPr>
          <w:p w:rsidR="00D02973" w:rsidRPr="00CD71BC" w:rsidRDefault="00D02973" w:rsidP="00DF2FAC">
            <w:pPr>
              <w:spacing w:before="120"/>
              <w:jc w:val="both"/>
              <w:rPr>
                <w:sz w:val="16"/>
                <w:szCs w:val="16"/>
              </w:rPr>
            </w:pPr>
            <w:r>
              <w:rPr>
                <w:rFonts w:cs="Arial"/>
                <w:sz w:val="16"/>
                <w:szCs w:val="20"/>
              </w:rPr>
              <w:t>$2,205,000</w:t>
            </w:r>
          </w:p>
        </w:tc>
      </w:tr>
    </w:tbl>
    <w:p w:rsidR="00D02973" w:rsidRPr="00EA2F26" w:rsidRDefault="00D02973" w:rsidP="00D02973">
      <w:pPr>
        <w:autoSpaceDE w:val="0"/>
        <w:autoSpaceDN w:val="0"/>
        <w:adjustRightInd w:val="0"/>
      </w:pPr>
    </w:p>
    <w:p w:rsidR="00D02973" w:rsidRPr="00EA2F26" w:rsidRDefault="00D02973" w:rsidP="00D02973">
      <w:pPr>
        <w:rPr>
          <w:color w:val="ACB9CA" w:themeColor="text2" w:themeTint="66"/>
          <w:u w:val="single"/>
        </w:rPr>
      </w:pPr>
      <w:r w:rsidRPr="00EA2F26">
        <w:rPr>
          <w:rFonts w:cs="Calibri"/>
          <w:color w:val="000000"/>
          <w:u w:val="single"/>
        </w:rPr>
        <w:t>Playground Improvement Plan 2015-2025</w:t>
      </w:r>
    </w:p>
    <w:p w:rsidR="00D02973" w:rsidRPr="00EA2F26" w:rsidRDefault="00D02973" w:rsidP="00D02973">
      <w:pPr>
        <w:spacing w:before="80"/>
        <w:rPr>
          <w:rFonts w:eastAsia="Calibri" w:cs="Calibri"/>
          <w:lang w:eastAsia="en-AU"/>
        </w:rPr>
      </w:pPr>
      <w:r w:rsidRPr="00EA2F26">
        <w:t xml:space="preserve">The Playground Improvement Plan sets out </w:t>
      </w:r>
      <w:r>
        <w:t>Council’s</w:t>
      </w:r>
      <w:r w:rsidRPr="00EA2F26">
        <w:t xml:space="preserve"> app</w:t>
      </w:r>
      <w:r>
        <w:t>roach to the upgrading</w:t>
      </w:r>
      <w:r w:rsidRPr="00EA2F26">
        <w:t xml:space="preserve"> of its 61 playgrounds.</w:t>
      </w:r>
      <w:r w:rsidRPr="00EA2F26">
        <w:rPr>
          <w:rFonts w:eastAsia="Calibri" w:cs="Calibri"/>
          <w:lang w:eastAsia="en-AU"/>
        </w:rPr>
        <w:t xml:space="preserve"> While acknowledging that children play in a range of open space environments (including local parks, the beach, or beside a lake) the report focuses on built playgrounds. It develops a number </w:t>
      </w:r>
      <w:r>
        <w:rPr>
          <w:rFonts w:eastAsia="Calibri" w:cs="Calibri"/>
          <w:lang w:eastAsia="en-AU"/>
        </w:rPr>
        <w:t>of policy statements to assist Council</w:t>
      </w:r>
      <w:r w:rsidRPr="00EA2F26">
        <w:rPr>
          <w:rFonts w:eastAsia="Calibri" w:cs="Calibri"/>
          <w:lang w:eastAsia="en-AU"/>
        </w:rPr>
        <w:t xml:space="preserve"> in making decisions about future provision. </w:t>
      </w:r>
      <w:r>
        <w:rPr>
          <w:rFonts w:eastAsia="Calibri" w:cs="Calibri"/>
          <w:lang w:eastAsia="en-AU"/>
        </w:rPr>
        <w:t>The plan estimates that $10.5</w:t>
      </w:r>
      <w:r w:rsidRPr="00EA2F26">
        <w:rPr>
          <w:rFonts w:eastAsia="Calibri" w:cs="Calibri"/>
          <w:lang w:eastAsia="en-AU"/>
        </w:rPr>
        <w:t xml:space="preserve"> million is require to fund playground renewal and upgrade</w:t>
      </w:r>
      <w:r>
        <w:rPr>
          <w:rFonts w:eastAsia="Calibri" w:cs="Calibri"/>
          <w:lang w:eastAsia="en-AU"/>
        </w:rPr>
        <w:t xml:space="preserve">s, this is set out in Table 7 </w:t>
      </w:r>
      <w:r w:rsidRPr="00EA2F26">
        <w:rPr>
          <w:rFonts w:eastAsia="Calibri" w:cs="Calibri"/>
          <w:lang w:eastAsia="en-AU"/>
        </w:rPr>
        <w:t xml:space="preserve">below. </w:t>
      </w:r>
    </w:p>
    <w:p w:rsidR="00D02973" w:rsidRPr="00EA2F26" w:rsidRDefault="00D02973" w:rsidP="00D02973">
      <w:pPr>
        <w:pStyle w:val="Para2"/>
        <w:spacing w:after="200" w:line="276" w:lineRule="auto"/>
        <w:ind w:left="0"/>
        <w:jc w:val="both"/>
        <w:rPr>
          <w:rFonts w:asciiTheme="minorHAnsi" w:eastAsiaTheme="minorHAnsi" w:hAnsiTheme="minorHAnsi" w:cstheme="minorBidi"/>
          <w:b/>
          <w:color w:val="auto"/>
          <w:sz w:val="22"/>
          <w:szCs w:val="22"/>
          <w:lang w:val="en-AU" w:eastAsia="en-US"/>
        </w:rPr>
      </w:pPr>
      <w:r w:rsidRPr="00EA2F26">
        <w:rPr>
          <w:rFonts w:asciiTheme="minorHAnsi" w:eastAsiaTheme="minorHAnsi" w:hAnsiTheme="minorHAnsi" w:cstheme="minorBidi"/>
          <w:b/>
          <w:color w:val="auto"/>
          <w:sz w:val="22"/>
          <w:szCs w:val="22"/>
          <w:lang w:val="en-AU" w:eastAsia="en-US"/>
        </w:rPr>
        <w:t xml:space="preserve">Table </w:t>
      </w:r>
      <w:r>
        <w:rPr>
          <w:rFonts w:asciiTheme="minorHAnsi" w:eastAsiaTheme="minorHAnsi" w:hAnsiTheme="minorHAnsi" w:cstheme="minorBidi"/>
          <w:b/>
          <w:color w:val="auto"/>
          <w:sz w:val="22"/>
          <w:szCs w:val="22"/>
          <w:lang w:val="en-AU" w:eastAsia="en-US"/>
        </w:rPr>
        <w:t>7</w:t>
      </w:r>
      <w:r w:rsidRPr="00EA2F26">
        <w:rPr>
          <w:rFonts w:asciiTheme="minorHAnsi" w:eastAsiaTheme="minorHAnsi" w:hAnsiTheme="minorHAnsi" w:cstheme="minorBidi"/>
          <w:b/>
          <w:color w:val="auto"/>
          <w:sz w:val="22"/>
          <w:szCs w:val="22"/>
          <w:lang w:val="en-AU" w:eastAsia="en-US"/>
        </w:rPr>
        <w:t xml:space="preserve">: Playground Improvement Plan </w:t>
      </w:r>
      <w:r>
        <w:rPr>
          <w:rFonts w:asciiTheme="minorHAnsi" w:eastAsiaTheme="minorHAnsi" w:hAnsiTheme="minorHAnsi" w:cstheme="minorBidi"/>
          <w:b/>
          <w:color w:val="auto"/>
          <w:sz w:val="22"/>
          <w:szCs w:val="22"/>
          <w:lang w:val="en-AU" w:eastAsia="en-US"/>
        </w:rPr>
        <w:t>10 Year Costs</w:t>
      </w:r>
    </w:p>
    <w:tbl>
      <w:tblPr>
        <w:tblStyle w:val="TableGrid"/>
        <w:tblW w:w="9209" w:type="dxa"/>
        <w:tblLook w:val="04A0" w:firstRow="1" w:lastRow="0" w:firstColumn="1" w:lastColumn="0" w:noHBand="0" w:noVBand="1"/>
      </w:tblPr>
      <w:tblGrid>
        <w:gridCol w:w="945"/>
        <w:gridCol w:w="824"/>
        <w:gridCol w:w="945"/>
        <w:gridCol w:w="945"/>
        <w:gridCol w:w="945"/>
        <w:gridCol w:w="945"/>
        <w:gridCol w:w="945"/>
        <w:gridCol w:w="945"/>
        <w:gridCol w:w="945"/>
        <w:gridCol w:w="825"/>
      </w:tblGrid>
      <w:tr w:rsidR="00D02973" w:rsidRPr="00EA2F26" w:rsidTr="00AA1CC4">
        <w:tc>
          <w:tcPr>
            <w:tcW w:w="926" w:type="dxa"/>
            <w:shd w:val="clear" w:color="auto" w:fill="000000" w:themeFill="text1"/>
          </w:tcPr>
          <w:p w:rsidR="00D02973" w:rsidRPr="00217945" w:rsidRDefault="00D02973" w:rsidP="00DF2FAC">
            <w:pPr>
              <w:spacing w:before="120"/>
              <w:jc w:val="both"/>
              <w:rPr>
                <w:b/>
                <w:color w:val="FFFFFF" w:themeColor="background1"/>
                <w:sz w:val="16"/>
                <w:szCs w:val="16"/>
              </w:rPr>
            </w:pPr>
            <w:r w:rsidRPr="00217945">
              <w:rPr>
                <w:b/>
                <w:color w:val="FFFFFF" w:themeColor="background1"/>
                <w:sz w:val="16"/>
                <w:szCs w:val="16"/>
              </w:rPr>
              <w:t>2015/16</w:t>
            </w:r>
          </w:p>
        </w:tc>
        <w:tc>
          <w:tcPr>
            <w:tcW w:w="808" w:type="dxa"/>
            <w:shd w:val="clear" w:color="auto" w:fill="000000" w:themeFill="text1"/>
          </w:tcPr>
          <w:p w:rsidR="00D02973" w:rsidRPr="00217945" w:rsidRDefault="00D02973" w:rsidP="00DF2FAC">
            <w:pPr>
              <w:spacing w:before="120"/>
              <w:jc w:val="both"/>
              <w:rPr>
                <w:b/>
                <w:color w:val="FFFFFF" w:themeColor="background1"/>
                <w:sz w:val="16"/>
                <w:szCs w:val="16"/>
              </w:rPr>
            </w:pPr>
            <w:r w:rsidRPr="00217945">
              <w:rPr>
                <w:b/>
                <w:color w:val="FFFFFF" w:themeColor="background1"/>
                <w:sz w:val="16"/>
                <w:szCs w:val="16"/>
              </w:rPr>
              <w:t>2016/17</w:t>
            </w:r>
          </w:p>
        </w:tc>
        <w:tc>
          <w:tcPr>
            <w:tcW w:w="925" w:type="dxa"/>
            <w:shd w:val="clear" w:color="auto" w:fill="000000" w:themeFill="text1"/>
          </w:tcPr>
          <w:p w:rsidR="00D02973" w:rsidRPr="00217945" w:rsidRDefault="00D02973" w:rsidP="00DF2FAC">
            <w:pPr>
              <w:spacing w:before="120"/>
              <w:jc w:val="both"/>
              <w:rPr>
                <w:b/>
                <w:color w:val="FFFFFF" w:themeColor="background1"/>
                <w:sz w:val="16"/>
                <w:szCs w:val="16"/>
              </w:rPr>
            </w:pPr>
            <w:r w:rsidRPr="00217945">
              <w:rPr>
                <w:b/>
                <w:color w:val="FFFFFF" w:themeColor="background1"/>
                <w:sz w:val="16"/>
                <w:szCs w:val="16"/>
              </w:rPr>
              <w:t>2017/18</w:t>
            </w:r>
          </w:p>
        </w:tc>
        <w:tc>
          <w:tcPr>
            <w:tcW w:w="925" w:type="dxa"/>
            <w:shd w:val="clear" w:color="auto" w:fill="000000" w:themeFill="text1"/>
          </w:tcPr>
          <w:p w:rsidR="00D02973" w:rsidRPr="00217945" w:rsidRDefault="00D02973" w:rsidP="00DF2FAC">
            <w:pPr>
              <w:spacing w:before="120"/>
              <w:jc w:val="both"/>
              <w:rPr>
                <w:b/>
                <w:color w:val="FFFFFF" w:themeColor="background1"/>
                <w:sz w:val="16"/>
                <w:szCs w:val="16"/>
              </w:rPr>
            </w:pPr>
            <w:r w:rsidRPr="00217945">
              <w:rPr>
                <w:b/>
                <w:color w:val="FFFFFF" w:themeColor="background1"/>
                <w:sz w:val="16"/>
                <w:szCs w:val="16"/>
              </w:rPr>
              <w:t>2018/19</w:t>
            </w:r>
          </w:p>
        </w:tc>
        <w:tc>
          <w:tcPr>
            <w:tcW w:w="925" w:type="dxa"/>
            <w:shd w:val="clear" w:color="auto" w:fill="000000" w:themeFill="text1"/>
          </w:tcPr>
          <w:p w:rsidR="00D02973" w:rsidRPr="00217945" w:rsidRDefault="00D02973" w:rsidP="00DF2FAC">
            <w:pPr>
              <w:spacing w:before="120"/>
              <w:jc w:val="both"/>
              <w:rPr>
                <w:b/>
                <w:color w:val="FFFFFF" w:themeColor="background1"/>
                <w:sz w:val="16"/>
                <w:szCs w:val="16"/>
              </w:rPr>
            </w:pPr>
            <w:r w:rsidRPr="00217945">
              <w:rPr>
                <w:b/>
                <w:color w:val="FFFFFF" w:themeColor="background1"/>
                <w:sz w:val="16"/>
                <w:szCs w:val="16"/>
              </w:rPr>
              <w:t>2019/20</w:t>
            </w:r>
          </w:p>
        </w:tc>
        <w:tc>
          <w:tcPr>
            <w:tcW w:w="925" w:type="dxa"/>
            <w:shd w:val="clear" w:color="auto" w:fill="000000" w:themeFill="text1"/>
          </w:tcPr>
          <w:p w:rsidR="00D02973" w:rsidRPr="00217945" w:rsidRDefault="00D02973" w:rsidP="00DF2FAC">
            <w:pPr>
              <w:spacing w:before="120"/>
              <w:jc w:val="both"/>
              <w:rPr>
                <w:b/>
                <w:color w:val="FFFFFF" w:themeColor="background1"/>
                <w:sz w:val="16"/>
                <w:szCs w:val="16"/>
              </w:rPr>
            </w:pPr>
            <w:r w:rsidRPr="00217945">
              <w:rPr>
                <w:b/>
                <w:color w:val="FFFFFF" w:themeColor="background1"/>
                <w:sz w:val="16"/>
                <w:szCs w:val="16"/>
              </w:rPr>
              <w:t>2020/21</w:t>
            </w:r>
          </w:p>
        </w:tc>
        <w:tc>
          <w:tcPr>
            <w:tcW w:w="925" w:type="dxa"/>
            <w:shd w:val="clear" w:color="auto" w:fill="000000" w:themeFill="text1"/>
          </w:tcPr>
          <w:p w:rsidR="00D02973" w:rsidRPr="00217945" w:rsidRDefault="00D02973" w:rsidP="00DF2FAC">
            <w:pPr>
              <w:spacing w:before="120"/>
              <w:jc w:val="both"/>
              <w:rPr>
                <w:b/>
                <w:color w:val="FFFFFF" w:themeColor="background1"/>
                <w:sz w:val="16"/>
                <w:szCs w:val="16"/>
              </w:rPr>
            </w:pPr>
            <w:r w:rsidRPr="00217945">
              <w:rPr>
                <w:b/>
                <w:color w:val="FFFFFF" w:themeColor="background1"/>
                <w:sz w:val="16"/>
                <w:szCs w:val="16"/>
              </w:rPr>
              <w:t>2021/22</w:t>
            </w:r>
          </w:p>
        </w:tc>
        <w:tc>
          <w:tcPr>
            <w:tcW w:w="925" w:type="dxa"/>
            <w:shd w:val="clear" w:color="auto" w:fill="000000" w:themeFill="text1"/>
          </w:tcPr>
          <w:p w:rsidR="00D02973" w:rsidRPr="00217945" w:rsidRDefault="00D02973" w:rsidP="00DF2FAC">
            <w:pPr>
              <w:spacing w:before="120"/>
              <w:jc w:val="both"/>
              <w:rPr>
                <w:b/>
                <w:color w:val="FFFFFF" w:themeColor="background1"/>
                <w:sz w:val="16"/>
                <w:szCs w:val="16"/>
              </w:rPr>
            </w:pPr>
            <w:r w:rsidRPr="00217945">
              <w:rPr>
                <w:b/>
                <w:color w:val="FFFFFF" w:themeColor="background1"/>
                <w:sz w:val="16"/>
                <w:szCs w:val="16"/>
              </w:rPr>
              <w:t>2022/23</w:t>
            </w:r>
          </w:p>
        </w:tc>
        <w:tc>
          <w:tcPr>
            <w:tcW w:w="925" w:type="dxa"/>
            <w:shd w:val="clear" w:color="auto" w:fill="000000" w:themeFill="text1"/>
          </w:tcPr>
          <w:p w:rsidR="00D02973" w:rsidRPr="00217945" w:rsidRDefault="00D02973" w:rsidP="00DF2FAC">
            <w:pPr>
              <w:spacing w:before="120"/>
              <w:jc w:val="both"/>
              <w:rPr>
                <w:b/>
                <w:color w:val="FFFFFF" w:themeColor="background1"/>
                <w:sz w:val="16"/>
                <w:szCs w:val="16"/>
              </w:rPr>
            </w:pPr>
            <w:r w:rsidRPr="00217945">
              <w:rPr>
                <w:b/>
                <w:color w:val="FFFFFF" w:themeColor="background1"/>
                <w:sz w:val="16"/>
                <w:szCs w:val="16"/>
              </w:rPr>
              <w:t>2023/24</w:t>
            </w:r>
          </w:p>
        </w:tc>
        <w:tc>
          <w:tcPr>
            <w:tcW w:w="1000" w:type="dxa"/>
            <w:shd w:val="clear" w:color="auto" w:fill="000000" w:themeFill="text1"/>
          </w:tcPr>
          <w:p w:rsidR="00D02973" w:rsidRPr="00217945" w:rsidRDefault="00D02973" w:rsidP="00DF2FAC">
            <w:pPr>
              <w:spacing w:before="120"/>
              <w:jc w:val="both"/>
              <w:rPr>
                <w:b/>
                <w:color w:val="FFFFFF" w:themeColor="background1"/>
                <w:sz w:val="16"/>
                <w:szCs w:val="16"/>
              </w:rPr>
            </w:pPr>
            <w:r w:rsidRPr="00217945">
              <w:rPr>
                <w:b/>
                <w:color w:val="FFFFFF" w:themeColor="background1"/>
                <w:sz w:val="16"/>
                <w:szCs w:val="16"/>
              </w:rPr>
              <w:t>2024/25</w:t>
            </w:r>
          </w:p>
        </w:tc>
      </w:tr>
      <w:tr w:rsidR="00D02973" w:rsidRPr="00EA2F26" w:rsidTr="00AA1CC4">
        <w:tc>
          <w:tcPr>
            <w:tcW w:w="926" w:type="dxa"/>
          </w:tcPr>
          <w:p w:rsidR="00D02973" w:rsidRPr="00217945" w:rsidRDefault="00D02973" w:rsidP="00DF2FAC">
            <w:pPr>
              <w:spacing w:before="120"/>
              <w:jc w:val="both"/>
              <w:rPr>
                <w:sz w:val="16"/>
                <w:szCs w:val="16"/>
              </w:rPr>
            </w:pPr>
            <w:r w:rsidRPr="00217945">
              <w:rPr>
                <w:sz w:val="16"/>
                <w:szCs w:val="16"/>
              </w:rPr>
              <w:t>$1,205,000</w:t>
            </w:r>
          </w:p>
        </w:tc>
        <w:tc>
          <w:tcPr>
            <w:tcW w:w="808" w:type="dxa"/>
          </w:tcPr>
          <w:p w:rsidR="00D02973" w:rsidRPr="00217945" w:rsidRDefault="00D02973" w:rsidP="00DF2FAC">
            <w:pPr>
              <w:spacing w:before="120"/>
              <w:jc w:val="both"/>
              <w:rPr>
                <w:sz w:val="16"/>
                <w:szCs w:val="16"/>
              </w:rPr>
            </w:pPr>
            <w:r w:rsidRPr="00217945">
              <w:rPr>
                <w:sz w:val="16"/>
                <w:szCs w:val="16"/>
              </w:rPr>
              <w:t>$965,000</w:t>
            </w:r>
          </w:p>
        </w:tc>
        <w:tc>
          <w:tcPr>
            <w:tcW w:w="925" w:type="dxa"/>
          </w:tcPr>
          <w:p w:rsidR="00D02973" w:rsidRPr="00217945" w:rsidRDefault="00D02973" w:rsidP="00DF2FAC">
            <w:pPr>
              <w:spacing w:before="120"/>
              <w:jc w:val="both"/>
              <w:rPr>
                <w:sz w:val="16"/>
                <w:szCs w:val="16"/>
              </w:rPr>
            </w:pPr>
            <w:r w:rsidRPr="00217945">
              <w:rPr>
                <w:sz w:val="16"/>
                <w:szCs w:val="16"/>
              </w:rPr>
              <w:t>$1,020,000</w:t>
            </w:r>
          </w:p>
        </w:tc>
        <w:tc>
          <w:tcPr>
            <w:tcW w:w="925" w:type="dxa"/>
          </w:tcPr>
          <w:p w:rsidR="00D02973" w:rsidRPr="00217945" w:rsidRDefault="00D02973" w:rsidP="00DF2FAC">
            <w:pPr>
              <w:spacing w:before="120"/>
              <w:jc w:val="both"/>
              <w:rPr>
                <w:sz w:val="16"/>
                <w:szCs w:val="16"/>
              </w:rPr>
            </w:pPr>
            <w:r w:rsidRPr="00217945">
              <w:rPr>
                <w:sz w:val="16"/>
                <w:szCs w:val="16"/>
              </w:rPr>
              <w:t>$1,040,000</w:t>
            </w:r>
          </w:p>
        </w:tc>
        <w:tc>
          <w:tcPr>
            <w:tcW w:w="925" w:type="dxa"/>
          </w:tcPr>
          <w:p w:rsidR="00D02973" w:rsidRPr="00217945" w:rsidRDefault="00D02973" w:rsidP="00DF2FAC">
            <w:pPr>
              <w:spacing w:before="120"/>
              <w:jc w:val="both"/>
              <w:rPr>
                <w:sz w:val="16"/>
                <w:szCs w:val="16"/>
              </w:rPr>
            </w:pPr>
            <w:r w:rsidRPr="00217945">
              <w:rPr>
                <w:sz w:val="16"/>
                <w:szCs w:val="16"/>
              </w:rPr>
              <w:t>$1,000,000</w:t>
            </w:r>
          </w:p>
        </w:tc>
        <w:tc>
          <w:tcPr>
            <w:tcW w:w="925" w:type="dxa"/>
          </w:tcPr>
          <w:p w:rsidR="00D02973" w:rsidRPr="00217945" w:rsidRDefault="00D02973" w:rsidP="00DF2FAC">
            <w:pPr>
              <w:spacing w:before="120"/>
              <w:jc w:val="both"/>
              <w:rPr>
                <w:sz w:val="16"/>
                <w:szCs w:val="16"/>
              </w:rPr>
            </w:pPr>
            <w:r w:rsidRPr="00217945">
              <w:rPr>
                <w:sz w:val="16"/>
                <w:szCs w:val="16"/>
              </w:rPr>
              <w:t>$1,215,000</w:t>
            </w:r>
          </w:p>
        </w:tc>
        <w:tc>
          <w:tcPr>
            <w:tcW w:w="925" w:type="dxa"/>
          </w:tcPr>
          <w:p w:rsidR="00D02973" w:rsidRPr="00217945" w:rsidRDefault="00D02973" w:rsidP="00DF2FAC">
            <w:pPr>
              <w:spacing w:before="120"/>
              <w:jc w:val="both"/>
              <w:rPr>
                <w:sz w:val="16"/>
                <w:szCs w:val="16"/>
              </w:rPr>
            </w:pPr>
            <w:r w:rsidRPr="00217945">
              <w:rPr>
                <w:sz w:val="16"/>
                <w:szCs w:val="16"/>
              </w:rPr>
              <w:t>$1,010,000</w:t>
            </w:r>
          </w:p>
        </w:tc>
        <w:tc>
          <w:tcPr>
            <w:tcW w:w="925" w:type="dxa"/>
          </w:tcPr>
          <w:p w:rsidR="00D02973" w:rsidRPr="00217945" w:rsidRDefault="00D02973" w:rsidP="00DF2FAC">
            <w:pPr>
              <w:spacing w:before="120"/>
              <w:jc w:val="both"/>
              <w:rPr>
                <w:sz w:val="16"/>
                <w:szCs w:val="16"/>
              </w:rPr>
            </w:pPr>
            <w:r w:rsidRPr="00217945">
              <w:rPr>
                <w:sz w:val="16"/>
                <w:szCs w:val="16"/>
              </w:rPr>
              <w:t>$1,065,000</w:t>
            </w:r>
          </w:p>
        </w:tc>
        <w:tc>
          <w:tcPr>
            <w:tcW w:w="925" w:type="dxa"/>
          </w:tcPr>
          <w:p w:rsidR="00D02973" w:rsidRPr="00217945" w:rsidRDefault="00D02973" w:rsidP="00DF2FAC">
            <w:pPr>
              <w:spacing w:before="120"/>
              <w:jc w:val="both"/>
              <w:rPr>
                <w:sz w:val="16"/>
                <w:szCs w:val="16"/>
              </w:rPr>
            </w:pPr>
            <w:r w:rsidRPr="00217945">
              <w:rPr>
                <w:sz w:val="16"/>
                <w:szCs w:val="16"/>
              </w:rPr>
              <w:t>$1,325,000</w:t>
            </w:r>
          </w:p>
        </w:tc>
        <w:tc>
          <w:tcPr>
            <w:tcW w:w="1000" w:type="dxa"/>
          </w:tcPr>
          <w:p w:rsidR="00D02973" w:rsidRPr="00217945" w:rsidRDefault="00D02973" w:rsidP="00DF2FAC">
            <w:pPr>
              <w:spacing w:before="120"/>
              <w:jc w:val="both"/>
              <w:rPr>
                <w:sz w:val="16"/>
                <w:szCs w:val="16"/>
              </w:rPr>
            </w:pPr>
            <w:r w:rsidRPr="00217945">
              <w:rPr>
                <w:sz w:val="16"/>
                <w:szCs w:val="16"/>
              </w:rPr>
              <w:t>$650,000</w:t>
            </w:r>
          </w:p>
        </w:tc>
      </w:tr>
    </w:tbl>
    <w:p w:rsidR="00D02973" w:rsidRDefault="00D02973" w:rsidP="00D02973">
      <w:pPr>
        <w:tabs>
          <w:tab w:val="left" w:pos="187"/>
        </w:tabs>
        <w:spacing w:before="80"/>
        <w:rPr>
          <w:rFonts w:eastAsia="Calibri" w:cs="Calibri"/>
          <w:u w:val="single"/>
          <w:lang w:eastAsia="en-AU"/>
        </w:rPr>
      </w:pPr>
    </w:p>
    <w:p w:rsidR="00D02973" w:rsidRPr="00EA2F26" w:rsidRDefault="00D02973" w:rsidP="00D02973">
      <w:pPr>
        <w:tabs>
          <w:tab w:val="left" w:pos="187"/>
        </w:tabs>
        <w:spacing w:before="80"/>
        <w:rPr>
          <w:rFonts w:eastAsia="Calibri" w:cs="Calibri"/>
          <w:u w:val="single"/>
          <w:lang w:eastAsia="en-AU"/>
        </w:rPr>
      </w:pPr>
      <w:r>
        <w:rPr>
          <w:rFonts w:eastAsia="Calibri" w:cs="Calibri"/>
          <w:u w:val="single"/>
          <w:lang w:eastAsia="en-AU"/>
        </w:rPr>
        <w:t>Cheltenham Park Master P</w:t>
      </w:r>
      <w:r w:rsidRPr="00EA2F26">
        <w:rPr>
          <w:rFonts w:eastAsia="Calibri" w:cs="Calibri"/>
          <w:u w:val="single"/>
          <w:lang w:eastAsia="en-AU"/>
        </w:rPr>
        <w:t xml:space="preserve">lan </w:t>
      </w:r>
    </w:p>
    <w:p w:rsidR="00D02973" w:rsidRDefault="00D02973" w:rsidP="00D02973">
      <w:pPr>
        <w:tabs>
          <w:tab w:val="left" w:pos="187"/>
        </w:tabs>
        <w:spacing w:before="80"/>
        <w:rPr>
          <w:rFonts w:eastAsia="Calibri" w:cs="Calibri"/>
          <w:lang w:eastAsia="en-AU"/>
        </w:rPr>
      </w:pPr>
      <w:r>
        <w:rPr>
          <w:rFonts w:eastAsia="Calibri" w:cs="Calibri"/>
          <w:lang w:eastAsia="en-AU"/>
        </w:rPr>
        <w:t>Cheltenham Park is a mixed use sporting and recreational reserve, particularly noted for indigenous flora and as a habitat for fauna. The Cheltenham Park Master Plan was adopted in August 2013 and identified high priority activities including the ongoing maintenance of indigenous vegetation and revegetation, the improvement of pathways and carparks surfaces, and upgrading park furniture and signage. The Master Plan is to be carried out with a budget of $500,000</w:t>
      </w:r>
      <w:r>
        <w:rPr>
          <w:rStyle w:val="FootnoteReference"/>
          <w:rFonts w:eastAsia="Calibri"/>
          <w:lang w:eastAsia="en-AU"/>
        </w:rPr>
        <w:footnoteReference w:id="10"/>
      </w:r>
      <w:r>
        <w:rPr>
          <w:rFonts w:eastAsia="Calibri" w:cs="Calibri"/>
          <w:lang w:eastAsia="en-AU"/>
        </w:rPr>
        <w:t>, of which $182,287 will be allocated to recreation and open spaces assets.</w:t>
      </w:r>
    </w:p>
    <w:p w:rsidR="00D02973" w:rsidRPr="00EA2F26" w:rsidRDefault="00D02973" w:rsidP="00D02973">
      <w:pPr>
        <w:pStyle w:val="Para2"/>
        <w:spacing w:after="200" w:line="276" w:lineRule="auto"/>
        <w:ind w:left="0"/>
        <w:jc w:val="both"/>
        <w:rPr>
          <w:rFonts w:asciiTheme="minorHAnsi" w:eastAsiaTheme="minorHAnsi" w:hAnsiTheme="minorHAnsi" w:cstheme="minorBidi"/>
          <w:b/>
          <w:color w:val="auto"/>
          <w:sz w:val="22"/>
          <w:szCs w:val="22"/>
          <w:lang w:val="en-AU" w:eastAsia="en-US"/>
        </w:rPr>
      </w:pPr>
      <w:r w:rsidRPr="00EA2F26">
        <w:rPr>
          <w:rFonts w:asciiTheme="minorHAnsi" w:eastAsiaTheme="minorHAnsi" w:hAnsiTheme="minorHAnsi" w:cstheme="minorBidi"/>
          <w:b/>
          <w:color w:val="auto"/>
          <w:sz w:val="22"/>
          <w:szCs w:val="22"/>
          <w:lang w:val="en-AU" w:eastAsia="en-US"/>
        </w:rPr>
        <w:t xml:space="preserve">Table </w:t>
      </w:r>
      <w:r>
        <w:rPr>
          <w:rFonts w:asciiTheme="minorHAnsi" w:eastAsiaTheme="minorHAnsi" w:hAnsiTheme="minorHAnsi" w:cstheme="minorBidi"/>
          <w:b/>
          <w:color w:val="auto"/>
          <w:sz w:val="22"/>
          <w:szCs w:val="22"/>
          <w:lang w:val="en-AU" w:eastAsia="en-US"/>
        </w:rPr>
        <w:t>8</w:t>
      </w:r>
      <w:r w:rsidRPr="00EA2F26">
        <w:rPr>
          <w:rFonts w:asciiTheme="minorHAnsi" w:eastAsiaTheme="minorHAnsi" w:hAnsiTheme="minorHAnsi" w:cstheme="minorBidi"/>
          <w:b/>
          <w:color w:val="auto"/>
          <w:sz w:val="22"/>
          <w:szCs w:val="22"/>
          <w:lang w:val="en-AU" w:eastAsia="en-US"/>
        </w:rPr>
        <w:t xml:space="preserve">: </w:t>
      </w:r>
      <w:r>
        <w:rPr>
          <w:rFonts w:asciiTheme="minorHAnsi" w:eastAsiaTheme="minorHAnsi" w:hAnsiTheme="minorHAnsi" w:cstheme="minorBidi"/>
          <w:b/>
          <w:color w:val="auto"/>
          <w:sz w:val="22"/>
          <w:szCs w:val="22"/>
          <w:lang w:val="en-AU" w:eastAsia="en-US"/>
        </w:rPr>
        <w:t>Cheltenham</w:t>
      </w:r>
      <w:r w:rsidRPr="00EA2F26">
        <w:rPr>
          <w:rFonts w:asciiTheme="minorHAnsi" w:eastAsiaTheme="minorHAnsi" w:hAnsiTheme="minorHAnsi" w:cstheme="minorBidi"/>
          <w:b/>
          <w:color w:val="auto"/>
          <w:sz w:val="22"/>
          <w:szCs w:val="22"/>
          <w:lang w:val="en-AU" w:eastAsia="en-US"/>
        </w:rPr>
        <w:t xml:space="preserve"> Park Master Plan </w:t>
      </w:r>
      <w:r>
        <w:rPr>
          <w:rFonts w:asciiTheme="minorHAnsi" w:eastAsiaTheme="minorHAnsi" w:hAnsiTheme="minorHAnsi" w:cstheme="minorBidi"/>
          <w:b/>
          <w:color w:val="auto"/>
          <w:sz w:val="22"/>
          <w:szCs w:val="22"/>
          <w:lang w:val="en-AU" w:eastAsia="en-US"/>
        </w:rPr>
        <w:t>10 Year Costs</w:t>
      </w:r>
    </w:p>
    <w:tbl>
      <w:tblPr>
        <w:tblStyle w:val="TableGrid"/>
        <w:tblW w:w="9351" w:type="dxa"/>
        <w:tblLook w:val="04A0" w:firstRow="1" w:lastRow="0" w:firstColumn="1" w:lastColumn="0" w:noHBand="0" w:noVBand="1"/>
      </w:tblPr>
      <w:tblGrid>
        <w:gridCol w:w="901"/>
        <w:gridCol w:w="901"/>
        <w:gridCol w:w="901"/>
        <w:gridCol w:w="902"/>
        <w:gridCol w:w="902"/>
        <w:gridCol w:w="902"/>
        <w:gridCol w:w="902"/>
        <w:gridCol w:w="902"/>
        <w:gridCol w:w="902"/>
        <w:gridCol w:w="1236"/>
      </w:tblGrid>
      <w:tr w:rsidR="00D02973" w:rsidRPr="00217945" w:rsidTr="00AA1CC4">
        <w:tc>
          <w:tcPr>
            <w:tcW w:w="901" w:type="dxa"/>
            <w:shd w:val="clear" w:color="auto" w:fill="000000" w:themeFill="text1"/>
            <w:vAlign w:val="center"/>
          </w:tcPr>
          <w:p w:rsidR="00D02973" w:rsidRPr="00217945" w:rsidRDefault="00D02973" w:rsidP="00DF2FAC">
            <w:pPr>
              <w:spacing w:before="120"/>
              <w:jc w:val="center"/>
              <w:rPr>
                <w:b/>
                <w:color w:val="FFFFFF" w:themeColor="background1"/>
                <w:sz w:val="16"/>
                <w:szCs w:val="16"/>
              </w:rPr>
            </w:pPr>
            <w:r w:rsidRPr="00217945">
              <w:rPr>
                <w:b/>
                <w:color w:val="FFFFFF" w:themeColor="background1"/>
                <w:sz w:val="16"/>
                <w:szCs w:val="16"/>
              </w:rPr>
              <w:t>2015/16</w:t>
            </w:r>
          </w:p>
        </w:tc>
        <w:tc>
          <w:tcPr>
            <w:tcW w:w="901" w:type="dxa"/>
            <w:shd w:val="clear" w:color="auto" w:fill="000000" w:themeFill="text1"/>
            <w:vAlign w:val="center"/>
          </w:tcPr>
          <w:p w:rsidR="00D02973" w:rsidRPr="00217945" w:rsidRDefault="00D02973" w:rsidP="00DF2FAC">
            <w:pPr>
              <w:spacing w:before="120"/>
              <w:jc w:val="center"/>
              <w:rPr>
                <w:b/>
                <w:color w:val="FFFFFF" w:themeColor="background1"/>
                <w:sz w:val="16"/>
                <w:szCs w:val="16"/>
              </w:rPr>
            </w:pPr>
            <w:r w:rsidRPr="00217945">
              <w:rPr>
                <w:b/>
                <w:color w:val="FFFFFF" w:themeColor="background1"/>
                <w:sz w:val="16"/>
                <w:szCs w:val="16"/>
              </w:rPr>
              <w:t>2016/17</w:t>
            </w:r>
          </w:p>
        </w:tc>
        <w:tc>
          <w:tcPr>
            <w:tcW w:w="901" w:type="dxa"/>
            <w:shd w:val="clear" w:color="auto" w:fill="000000" w:themeFill="text1"/>
            <w:vAlign w:val="center"/>
          </w:tcPr>
          <w:p w:rsidR="00D02973" w:rsidRPr="00217945" w:rsidRDefault="00D02973" w:rsidP="00DF2FAC">
            <w:pPr>
              <w:spacing w:before="120"/>
              <w:jc w:val="center"/>
              <w:rPr>
                <w:b/>
                <w:color w:val="FFFFFF" w:themeColor="background1"/>
                <w:sz w:val="16"/>
                <w:szCs w:val="16"/>
              </w:rPr>
            </w:pPr>
            <w:r w:rsidRPr="00217945">
              <w:rPr>
                <w:b/>
                <w:color w:val="FFFFFF" w:themeColor="background1"/>
                <w:sz w:val="16"/>
                <w:szCs w:val="16"/>
              </w:rPr>
              <w:t>2017/18</w:t>
            </w:r>
          </w:p>
        </w:tc>
        <w:tc>
          <w:tcPr>
            <w:tcW w:w="902" w:type="dxa"/>
            <w:shd w:val="clear" w:color="auto" w:fill="000000" w:themeFill="text1"/>
            <w:vAlign w:val="center"/>
          </w:tcPr>
          <w:p w:rsidR="00D02973" w:rsidRPr="00217945" w:rsidRDefault="00D02973" w:rsidP="00DF2FAC">
            <w:pPr>
              <w:spacing w:before="120"/>
              <w:jc w:val="center"/>
              <w:rPr>
                <w:b/>
                <w:color w:val="FFFFFF" w:themeColor="background1"/>
                <w:sz w:val="16"/>
                <w:szCs w:val="16"/>
              </w:rPr>
            </w:pPr>
            <w:r w:rsidRPr="00217945">
              <w:rPr>
                <w:b/>
                <w:color w:val="FFFFFF" w:themeColor="background1"/>
                <w:sz w:val="16"/>
                <w:szCs w:val="16"/>
              </w:rPr>
              <w:t>2018/19</w:t>
            </w:r>
          </w:p>
        </w:tc>
        <w:tc>
          <w:tcPr>
            <w:tcW w:w="902" w:type="dxa"/>
            <w:shd w:val="clear" w:color="auto" w:fill="000000" w:themeFill="text1"/>
            <w:vAlign w:val="center"/>
          </w:tcPr>
          <w:p w:rsidR="00D02973" w:rsidRPr="00217945" w:rsidRDefault="00D02973" w:rsidP="00DF2FAC">
            <w:pPr>
              <w:spacing w:before="120"/>
              <w:jc w:val="center"/>
              <w:rPr>
                <w:b/>
                <w:color w:val="FFFFFF" w:themeColor="background1"/>
                <w:sz w:val="16"/>
                <w:szCs w:val="16"/>
              </w:rPr>
            </w:pPr>
            <w:r w:rsidRPr="00217945">
              <w:rPr>
                <w:b/>
                <w:color w:val="FFFFFF" w:themeColor="background1"/>
                <w:sz w:val="16"/>
                <w:szCs w:val="16"/>
              </w:rPr>
              <w:t>2019/20</w:t>
            </w:r>
          </w:p>
        </w:tc>
        <w:tc>
          <w:tcPr>
            <w:tcW w:w="902" w:type="dxa"/>
            <w:shd w:val="clear" w:color="auto" w:fill="000000" w:themeFill="text1"/>
            <w:vAlign w:val="center"/>
          </w:tcPr>
          <w:p w:rsidR="00D02973" w:rsidRPr="00217945" w:rsidRDefault="00D02973" w:rsidP="00DF2FAC">
            <w:pPr>
              <w:spacing w:before="120"/>
              <w:jc w:val="center"/>
              <w:rPr>
                <w:b/>
                <w:color w:val="FFFFFF" w:themeColor="background1"/>
                <w:sz w:val="16"/>
                <w:szCs w:val="16"/>
              </w:rPr>
            </w:pPr>
            <w:r w:rsidRPr="00217945">
              <w:rPr>
                <w:b/>
                <w:color w:val="FFFFFF" w:themeColor="background1"/>
                <w:sz w:val="16"/>
                <w:szCs w:val="16"/>
              </w:rPr>
              <w:t>2020/21</w:t>
            </w:r>
          </w:p>
        </w:tc>
        <w:tc>
          <w:tcPr>
            <w:tcW w:w="902" w:type="dxa"/>
            <w:shd w:val="clear" w:color="auto" w:fill="000000" w:themeFill="text1"/>
            <w:vAlign w:val="center"/>
          </w:tcPr>
          <w:p w:rsidR="00D02973" w:rsidRPr="00217945" w:rsidRDefault="00D02973" w:rsidP="00DF2FAC">
            <w:pPr>
              <w:spacing w:before="120"/>
              <w:jc w:val="center"/>
              <w:rPr>
                <w:b/>
                <w:color w:val="FFFFFF" w:themeColor="background1"/>
                <w:sz w:val="16"/>
                <w:szCs w:val="16"/>
              </w:rPr>
            </w:pPr>
            <w:r w:rsidRPr="00217945">
              <w:rPr>
                <w:b/>
                <w:color w:val="FFFFFF" w:themeColor="background1"/>
                <w:sz w:val="16"/>
                <w:szCs w:val="16"/>
              </w:rPr>
              <w:t>2021/22</w:t>
            </w:r>
          </w:p>
        </w:tc>
        <w:tc>
          <w:tcPr>
            <w:tcW w:w="902" w:type="dxa"/>
            <w:shd w:val="clear" w:color="auto" w:fill="000000" w:themeFill="text1"/>
            <w:vAlign w:val="center"/>
          </w:tcPr>
          <w:p w:rsidR="00D02973" w:rsidRPr="00217945" w:rsidRDefault="00D02973" w:rsidP="00DF2FAC">
            <w:pPr>
              <w:spacing w:before="120"/>
              <w:jc w:val="center"/>
              <w:rPr>
                <w:b/>
                <w:color w:val="FFFFFF" w:themeColor="background1"/>
                <w:sz w:val="16"/>
                <w:szCs w:val="16"/>
              </w:rPr>
            </w:pPr>
            <w:r w:rsidRPr="00217945">
              <w:rPr>
                <w:b/>
                <w:color w:val="FFFFFF" w:themeColor="background1"/>
                <w:sz w:val="16"/>
                <w:szCs w:val="16"/>
              </w:rPr>
              <w:t>2022/23</w:t>
            </w:r>
          </w:p>
        </w:tc>
        <w:tc>
          <w:tcPr>
            <w:tcW w:w="902" w:type="dxa"/>
            <w:shd w:val="clear" w:color="auto" w:fill="000000" w:themeFill="text1"/>
            <w:vAlign w:val="center"/>
          </w:tcPr>
          <w:p w:rsidR="00D02973" w:rsidRPr="00217945" w:rsidRDefault="00D02973" w:rsidP="00DF2FAC">
            <w:pPr>
              <w:spacing w:before="120"/>
              <w:jc w:val="center"/>
              <w:rPr>
                <w:b/>
                <w:color w:val="FFFFFF" w:themeColor="background1"/>
                <w:sz w:val="16"/>
                <w:szCs w:val="16"/>
              </w:rPr>
            </w:pPr>
            <w:r w:rsidRPr="00217945">
              <w:rPr>
                <w:b/>
                <w:color w:val="FFFFFF" w:themeColor="background1"/>
                <w:sz w:val="16"/>
                <w:szCs w:val="16"/>
              </w:rPr>
              <w:t>2023/24</w:t>
            </w:r>
          </w:p>
        </w:tc>
        <w:tc>
          <w:tcPr>
            <w:tcW w:w="1236" w:type="dxa"/>
            <w:shd w:val="clear" w:color="auto" w:fill="000000" w:themeFill="text1"/>
            <w:vAlign w:val="center"/>
          </w:tcPr>
          <w:p w:rsidR="00D02973" w:rsidRPr="00217945" w:rsidRDefault="00D02973" w:rsidP="00DF2FAC">
            <w:pPr>
              <w:spacing w:before="120"/>
              <w:jc w:val="center"/>
              <w:rPr>
                <w:b/>
                <w:color w:val="FFFFFF" w:themeColor="background1"/>
                <w:sz w:val="16"/>
                <w:szCs w:val="16"/>
              </w:rPr>
            </w:pPr>
            <w:r w:rsidRPr="00217945">
              <w:rPr>
                <w:b/>
                <w:color w:val="FFFFFF" w:themeColor="background1"/>
                <w:sz w:val="16"/>
                <w:szCs w:val="16"/>
              </w:rPr>
              <w:t>2024/25</w:t>
            </w:r>
          </w:p>
        </w:tc>
      </w:tr>
      <w:tr w:rsidR="00D02973" w:rsidRPr="00217945" w:rsidTr="00AA1CC4">
        <w:trPr>
          <w:trHeight w:val="381"/>
        </w:trPr>
        <w:tc>
          <w:tcPr>
            <w:tcW w:w="901" w:type="dxa"/>
            <w:vAlign w:val="center"/>
          </w:tcPr>
          <w:p w:rsidR="00D02973" w:rsidRPr="00217945" w:rsidRDefault="00D02973" w:rsidP="00DF2FAC">
            <w:pPr>
              <w:spacing w:before="120"/>
              <w:jc w:val="center"/>
              <w:rPr>
                <w:sz w:val="16"/>
                <w:szCs w:val="16"/>
              </w:rPr>
            </w:pPr>
            <w:r w:rsidRPr="00217945">
              <w:rPr>
                <w:sz w:val="16"/>
                <w:szCs w:val="16"/>
              </w:rPr>
              <w:t>$97,287</w:t>
            </w:r>
          </w:p>
        </w:tc>
        <w:tc>
          <w:tcPr>
            <w:tcW w:w="901" w:type="dxa"/>
            <w:vAlign w:val="center"/>
          </w:tcPr>
          <w:p w:rsidR="00D02973" w:rsidRPr="00217945" w:rsidRDefault="00D02973" w:rsidP="00DF2FAC">
            <w:pPr>
              <w:spacing w:before="120"/>
              <w:jc w:val="center"/>
              <w:rPr>
                <w:sz w:val="16"/>
                <w:szCs w:val="16"/>
              </w:rPr>
            </w:pPr>
            <w:r w:rsidRPr="00217945">
              <w:rPr>
                <w:sz w:val="16"/>
                <w:szCs w:val="16"/>
              </w:rPr>
              <w:t>$85,000</w:t>
            </w:r>
          </w:p>
        </w:tc>
        <w:tc>
          <w:tcPr>
            <w:tcW w:w="901" w:type="dxa"/>
            <w:vAlign w:val="center"/>
          </w:tcPr>
          <w:p w:rsidR="00D02973" w:rsidRPr="00217945" w:rsidRDefault="00D02973" w:rsidP="00DF2FAC">
            <w:pPr>
              <w:spacing w:before="120"/>
              <w:jc w:val="center"/>
              <w:rPr>
                <w:sz w:val="16"/>
                <w:szCs w:val="16"/>
              </w:rPr>
            </w:pPr>
            <w:r w:rsidRPr="00217945">
              <w:rPr>
                <w:sz w:val="16"/>
                <w:szCs w:val="16"/>
              </w:rPr>
              <w:t>-</w:t>
            </w:r>
          </w:p>
        </w:tc>
        <w:tc>
          <w:tcPr>
            <w:tcW w:w="902" w:type="dxa"/>
            <w:vAlign w:val="center"/>
          </w:tcPr>
          <w:p w:rsidR="00D02973" w:rsidRPr="00217945" w:rsidRDefault="00D02973" w:rsidP="00DF2FAC">
            <w:pPr>
              <w:spacing w:before="120"/>
              <w:jc w:val="center"/>
              <w:rPr>
                <w:sz w:val="16"/>
                <w:szCs w:val="16"/>
              </w:rPr>
            </w:pPr>
            <w:r w:rsidRPr="00217945">
              <w:rPr>
                <w:sz w:val="16"/>
                <w:szCs w:val="16"/>
              </w:rPr>
              <w:t>-</w:t>
            </w:r>
          </w:p>
        </w:tc>
        <w:tc>
          <w:tcPr>
            <w:tcW w:w="902" w:type="dxa"/>
            <w:vAlign w:val="center"/>
          </w:tcPr>
          <w:p w:rsidR="00D02973" w:rsidRPr="00217945" w:rsidRDefault="00D02973" w:rsidP="00DF2FAC">
            <w:pPr>
              <w:spacing w:before="120"/>
              <w:jc w:val="center"/>
              <w:rPr>
                <w:sz w:val="16"/>
                <w:szCs w:val="16"/>
              </w:rPr>
            </w:pPr>
            <w:r w:rsidRPr="00217945">
              <w:rPr>
                <w:sz w:val="16"/>
                <w:szCs w:val="16"/>
              </w:rPr>
              <w:t>-</w:t>
            </w:r>
          </w:p>
        </w:tc>
        <w:tc>
          <w:tcPr>
            <w:tcW w:w="902" w:type="dxa"/>
            <w:vAlign w:val="center"/>
          </w:tcPr>
          <w:p w:rsidR="00D02973" w:rsidRPr="00217945" w:rsidRDefault="00D02973" w:rsidP="00DF2FAC">
            <w:pPr>
              <w:spacing w:before="120"/>
              <w:jc w:val="center"/>
              <w:rPr>
                <w:sz w:val="16"/>
                <w:szCs w:val="16"/>
              </w:rPr>
            </w:pPr>
            <w:r w:rsidRPr="00217945">
              <w:rPr>
                <w:sz w:val="16"/>
                <w:szCs w:val="16"/>
              </w:rPr>
              <w:t>-</w:t>
            </w:r>
          </w:p>
        </w:tc>
        <w:tc>
          <w:tcPr>
            <w:tcW w:w="902" w:type="dxa"/>
            <w:vAlign w:val="center"/>
          </w:tcPr>
          <w:p w:rsidR="00D02973" w:rsidRPr="00217945" w:rsidRDefault="00D02973" w:rsidP="00DF2FAC">
            <w:pPr>
              <w:spacing w:before="120"/>
              <w:jc w:val="center"/>
              <w:rPr>
                <w:sz w:val="16"/>
                <w:szCs w:val="16"/>
              </w:rPr>
            </w:pPr>
            <w:r w:rsidRPr="00217945">
              <w:rPr>
                <w:sz w:val="16"/>
                <w:szCs w:val="16"/>
              </w:rPr>
              <w:t>-</w:t>
            </w:r>
          </w:p>
        </w:tc>
        <w:tc>
          <w:tcPr>
            <w:tcW w:w="902" w:type="dxa"/>
            <w:vAlign w:val="center"/>
          </w:tcPr>
          <w:p w:rsidR="00D02973" w:rsidRPr="00217945" w:rsidRDefault="00D02973" w:rsidP="00DF2FAC">
            <w:pPr>
              <w:spacing w:before="120"/>
              <w:jc w:val="center"/>
              <w:rPr>
                <w:sz w:val="16"/>
                <w:szCs w:val="16"/>
              </w:rPr>
            </w:pPr>
            <w:r w:rsidRPr="00217945">
              <w:rPr>
                <w:sz w:val="16"/>
                <w:szCs w:val="16"/>
              </w:rPr>
              <w:t>-</w:t>
            </w:r>
          </w:p>
        </w:tc>
        <w:tc>
          <w:tcPr>
            <w:tcW w:w="902" w:type="dxa"/>
            <w:vAlign w:val="center"/>
          </w:tcPr>
          <w:p w:rsidR="00D02973" w:rsidRPr="00217945" w:rsidRDefault="00D02973" w:rsidP="00DF2FAC">
            <w:pPr>
              <w:spacing w:before="120"/>
              <w:jc w:val="center"/>
              <w:rPr>
                <w:sz w:val="16"/>
                <w:szCs w:val="16"/>
              </w:rPr>
            </w:pPr>
            <w:r w:rsidRPr="00217945">
              <w:rPr>
                <w:sz w:val="16"/>
                <w:szCs w:val="16"/>
              </w:rPr>
              <w:t>-</w:t>
            </w:r>
          </w:p>
        </w:tc>
        <w:tc>
          <w:tcPr>
            <w:tcW w:w="1236" w:type="dxa"/>
            <w:vAlign w:val="center"/>
          </w:tcPr>
          <w:p w:rsidR="00D02973" w:rsidRPr="00217945" w:rsidRDefault="00D02973" w:rsidP="00DF2FAC">
            <w:pPr>
              <w:spacing w:before="120"/>
              <w:jc w:val="center"/>
              <w:rPr>
                <w:sz w:val="16"/>
                <w:szCs w:val="16"/>
              </w:rPr>
            </w:pPr>
            <w:r w:rsidRPr="00217945">
              <w:rPr>
                <w:sz w:val="16"/>
                <w:szCs w:val="16"/>
              </w:rPr>
              <w:t>-</w:t>
            </w:r>
          </w:p>
        </w:tc>
      </w:tr>
    </w:tbl>
    <w:p w:rsidR="00D02973" w:rsidRDefault="00D02973" w:rsidP="00D02973">
      <w:pPr>
        <w:tabs>
          <w:tab w:val="left" w:pos="187"/>
        </w:tabs>
        <w:spacing w:before="300"/>
        <w:rPr>
          <w:rFonts w:eastAsia="Calibri" w:cs="Calibri"/>
          <w:u w:val="single"/>
          <w:lang w:eastAsia="en-AU"/>
        </w:rPr>
      </w:pPr>
      <w:r>
        <w:rPr>
          <w:rFonts w:eastAsia="Calibri" w:cs="Calibri"/>
          <w:u w:val="single"/>
          <w:lang w:eastAsia="en-AU"/>
        </w:rPr>
        <w:t>Dendy Park Master Plan</w:t>
      </w:r>
    </w:p>
    <w:p w:rsidR="00D02973" w:rsidRDefault="00D02973" w:rsidP="00D02973">
      <w:pPr>
        <w:tabs>
          <w:tab w:val="left" w:pos="187"/>
        </w:tabs>
        <w:spacing w:before="80"/>
        <w:rPr>
          <w:rFonts w:eastAsia="Calibri" w:cs="Calibri"/>
          <w:lang w:eastAsia="en-AU"/>
        </w:rPr>
      </w:pPr>
      <w:r w:rsidRPr="000303AE">
        <w:rPr>
          <w:rFonts w:eastAsia="Calibri" w:cs="Calibri"/>
          <w:lang w:eastAsia="en-AU"/>
        </w:rPr>
        <w:t>Dendy Park is a large sporting c</w:t>
      </w:r>
      <w:r>
        <w:rPr>
          <w:rFonts w:eastAsia="Calibri" w:cs="Calibri"/>
          <w:lang w:eastAsia="en-AU"/>
        </w:rPr>
        <w:t xml:space="preserve">omplex providing a range of recreation and sporting facilities, in addition to native vegetation. The Dendy Park Master Plan identified a number of opportunities </w:t>
      </w:r>
      <w:r>
        <w:rPr>
          <w:rFonts w:eastAsia="Calibri" w:cs="Calibri"/>
          <w:lang w:eastAsia="en-AU"/>
        </w:rPr>
        <w:lastRenderedPageBreak/>
        <w:t xml:space="preserve">including improvement of sporting and support facilities, paths and internal roads, lighting and signage, and vegetation protection. </w:t>
      </w:r>
    </w:p>
    <w:p w:rsidR="00D02973" w:rsidRPr="00127060" w:rsidRDefault="00D02973" w:rsidP="00D02973">
      <w:pPr>
        <w:pStyle w:val="Para2"/>
        <w:spacing w:after="200" w:line="276" w:lineRule="auto"/>
        <w:ind w:left="0"/>
        <w:jc w:val="both"/>
        <w:rPr>
          <w:rFonts w:asciiTheme="minorHAnsi" w:eastAsiaTheme="minorHAnsi" w:hAnsiTheme="minorHAnsi" w:cstheme="minorBidi"/>
          <w:b/>
          <w:color w:val="auto"/>
          <w:sz w:val="22"/>
          <w:szCs w:val="22"/>
          <w:lang w:val="en-AU" w:eastAsia="en-US"/>
        </w:rPr>
      </w:pPr>
      <w:r w:rsidRPr="00EA2F26">
        <w:rPr>
          <w:rFonts w:asciiTheme="minorHAnsi" w:eastAsiaTheme="minorHAnsi" w:hAnsiTheme="minorHAnsi" w:cstheme="minorBidi"/>
          <w:b/>
          <w:color w:val="auto"/>
          <w:sz w:val="22"/>
          <w:szCs w:val="22"/>
          <w:lang w:val="en-AU" w:eastAsia="en-US"/>
        </w:rPr>
        <w:t xml:space="preserve">Table </w:t>
      </w:r>
      <w:r>
        <w:rPr>
          <w:rFonts w:asciiTheme="minorHAnsi" w:eastAsiaTheme="minorHAnsi" w:hAnsiTheme="minorHAnsi" w:cstheme="minorBidi"/>
          <w:b/>
          <w:color w:val="auto"/>
          <w:sz w:val="22"/>
          <w:szCs w:val="22"/>
          <w:lang w:val="en-AU" w:eastAsia="en-US"/>
        </w:rPr>
        <w:t>9</w:t>
      </w:r>
      <w:r w:rsidRPr="00EA2F26">
        <w:rPr>
          <w:rFonts w:asciiTheme="minorHAnsi" w:eastAsiaTheme="minorHAnsi" w:hAnsiTheme="minorHAnsi" w:cstheme="minorBidi"/>
          <w:b/>
          <w:color w:val="auto"/>
          <w:sz w:val="22"/>
          <w:szCs w:val="22"/>
          <w:lang w:val="en-AU" w:eastAsia="en-US"/>
        </w:rPr>
        <w:t xml:space="preserve">: </w:t>
      </w:r>
      <w:r>
        <w:rPr>
          <w:rFonts w:asciiTheme="minorHAnsi" w:eastAsiaTheme="minorHAnsi" w:hAnsiTheme="minorHAnsi" w:cstheme="minorBidi"/>
          <w:b/>
          <w:color w:val="auto"/>
          <w:sz w:val="22"/>
          <w:szCs w:val="22"/>
          <w:lang w:val="en-AU" w:eastAsia="en-US"/>
        </w:rPr>
        <w:t>Dendy</w:t>
      </w:r>
      <w:r w:rsidRPr="00EA2F26">
        <w:rPr>
          <w:rFonts w:asciiTheme="minorHAnsi" w:eastAsiaTheme="minorHAnsi" w:hAnsiTheme="minorHAnsi" w:cstheme="minorBidi"/>
          <w:b/>
          <w:color w:val="auto"/>
          <w:sz w:val="22"/>
          <w:szCs w:val="22"/>
          <w:lang w:val="en-AU" w:eastAsia="en-US"/>
        </w:rPr>
        <w:t xml:space="preserve"> Park Master Plan </w:t>
      </w:r>
      <w:r>
        <w:rPr>
          <w:rFonts w:asciiTheme="minorHAnsi" w:eastAsiaTheme="minorHAnsi" w:hAnsiTheme="minorHAnsi" w:cstheme="minorBidi"/>
          <w:b/>
          <w:color w:val="auto"/>
          <w:sz w:val="22"/>
          <w:szCs w:val="22"/>
          <w:lang w:val="en-AU" w:eastAsia="en-US"/>
        </w:rPr>
        <w:t>10 Year Costs</w:t>
      </w:r>
    </w:p>
    <w:tbl>
      <w:tblPr>
        <w:tblStyle w:val="TableGrid"/>
        <w:tblW w:w="9209" w:type="dxa"/>
        <w:tblLook w:val="04A0" w:firstRow="1" w:lastRow="0" w:firstColumn="1" w:lastColumn="0" w:noHBand="0" w:noVBand="1"/>
      </w:tblPr>
      <w:tblGrid>
        <w:gridCol w:w="1148"/>
        <w:gridCol w:w="1148"/>
        <w:gridCol w:w="1148"/>
        <w:gridCol w:w="1148"/>
        <w:gridCol w:w="772"/>
        <w:gridCol w:w="772"/>
        <w:gridCol w:w="772"/>
        <w:gridCol w:w="772"/>
        <w:gridCol w:w="772"/>
        <w:gridCol w:w="772"/>
      </w:tblGrid>
      <w:tr w:rsidR="00D02973" w:rsidRPr="00217945" w:rsidTr="00AA1CC4">
        <w:tc>
          <w:tcPr>
            <w:tcW w:w="1120" w:type="dxa"/>
            <w:shd w:val="clear" w:color="auto" w:fill="000000" w:themeFill="text1"/>
            <w:vAlign w:val="center"/>
          </w:tcPr>
          <w:p w:rsidR="00D02973" w:rsidRPr="00217945" w:rsidRDefault="00D02973" w:rsidP="00DF2FAC">
            <w:pPr>
              <w:spacing w:before="120"/>
              <w:jc w:val="center"/>
              <w:rPr>
                <w:b/>
                <w:color w:val="FFFFFF" w:themeColor="background1"/>
                <w:sz w:val="16"/>
                <w:szCs w:val="16"/>
              </w:rPr>
            </w:pPr>
            <w:r w:rsidRPr="00217945">
              <w:rPr>
                <w:b/>
                <w:color w:val="FFFFFF" w:themeColor="background1"/>
                <w:sz w:val="16"/>
                <w:szCs w:val="16"/>
              </w:rPr>
              <w:t>2015/16</w:t>
            </w:r>
          </w:p>
        </w:tc>
        <w:tc>
          <w:tcPr>
            <w:tcW w:w="1120" w:type="dxa"/>
            <w:shd w:val="clear" w:color="auto" w:fill="000000" w:themeFill="text1"/>
            <w:vAlign w:val="center"/>
          </w:tcPr>
          <w:p w:rsidR="00D02973" w:rsidRPr="00217945" w:rsidRDefault="00D02973" w:rsidP="00DF2FAC">
            <w:pPr>
              <w:spacing w:before="120"/>
              <w:jc w:val="center"/>
              <w:rPr>
                <w:b/>
                <w:color w:val="FFFFFF" w:themeColor="background1"/>
                <w:sz w:val="16"/>
                <w:szCs w:val="16"/>
              </w:rPr>
            </w:pPr>
            <w:r w:rsidRPr="00217945">
              <w:rPr>
                <w:b/>
                <w:color w:val="FFFFFF" w:themeColor="background1"/>
                <w:sz w:val="16"/>
                <w:szCs w:val="16"/>
              </w:rPr>
              <w:t>2016/17</w:t>
            </w:r>
          </w:p>
        </w:tc>
        <w:tc>
          <w:tcPr>
            <w:tcW w:w="1120" w:type="dxa"/>
            <w:shd w:val="clear" w:color="auto" w:fill="000000" w:themeFill="text1"/>
            <w:vAlign w:val="center"/>
          </w:tcPr>
          <w:p w:rsidR="00D02973" w:rsidRPr="00217945" w:rsidRDefault="00D02973" w:rsidP="00DF2FAC">
            <w:pPr>
              <w:spacing w:before="120"/>
              <w:jc w:val="center"/>
              <w:rPr>
                <w:b/>
                <w:color w:val="FFFFFF" w:themeColor="background1"/>
                <w:sz w:val="16"/>
                <w:szCs w:val="16"/>
              </w:rPr>
            </w:pPr>
            <w:r w:rsidRPr="00217945">
              <w:rPr>
                <w:b/>
                <w:color w:val="FFFFFF" w:themeColor="background1"/>
                <w:sz w:val="16"/>
                <w:szCs w:val="16"/>
              </w:rPr>
              <w:t>2017/18</w:t>
            </w:r>
          </w:p>
        </w:tc>
        <w:tc>
          <w:tcPr>
            <w:tcW w:w="1121" w:type="dxa"/>
            <w:shd w:val="clear" w:color="auto" w:fill="000000" w:themeFill="text1"/>
            <w:vAlign w:val="center"/>
          </w:tcPr>
          <w:p w:rsidR="00D02973" w:rsidRPr="00217945" w:rsidRDefault="00D02973" w:rsidP="00DF2FAC">
            <w:pPr>
              <w:spacing w:before="120"/>
              <w:jc w:val="center"/>
              <w:rPr>
                <w:b/>
                <w:color w:val="FFFFFF" w:themeColor="background1"/>
                <w:sz w:val="16"/>
                <w:szCs w:val="16"/>
              </w:rPr>
            </w:pPr>
            <w:r w:rsidRPr="00217945">
              <w:rPr>
                <w:b/>
                <w:color w:val="FFFFFF" w:themeColor="background1"/>
                <w:sz w:val="16"/>
                <w:szCs w:val="16"/>
              </w:rPr>
              <w:t>2018/19</w:t>
            </w:r>
          </w:p>
        </w:tc>
        <w:tc>
          <w:tcPr>
            <w:tcW w:w="756" w:type="dxa"/>
            <w:shd w:val="clear" w:color="auto" w:fill="000000" w:themeFill="text1"/>
            <w:vAlign w:val="center"/>
          </w:tcPr>
          <w:p w:rsidR="00D02973" w:rsidRPr="00217945" w:rsidRDefault="00D02973" w:rsidP="00DF2FAC">
            <w:pPr>
              <w:spacing w:before="120"/>
              <w:jc w:val="center"/>
              <w:rPr>
                <w:b/>
                <w:color w:val="FFFFFF" w:themeColor="background1"/>
                <w:sz w:val="16"/>
                <w:szCs w:val="16"/>
              </w:rPr>
            </w:pPr>
            <w:r w:rsidRPr="00217945">
              <w:rPr>
                <w:b/>
                <w:color w:val="FFFFFF" w:themeColor="background1"/>
                <w:sz w:val="16"/>
                <w:szCs w:val="16"/>
              </w:rPr>
              <w:t>2019/20</w:t>
            </w:r>
          </w:p>
        </w:tc>
        <w:tc>
          <w:tcPr>
            <w:tcW w:w="756" w:type="dxa"/>
            <w:shd w:val="clear" w:color="auto" w:fill="000000" w:themeFill="text1"/>
            <w:vAlign w:val="center"/>
          </w:tcPr>
          <w:p w:rsidR="00D02973" w:rsidRPr="00217945" w:rsidRDefault="00D02973" w:rsidP="00DF2FAC">
            <w:pPr>
              <w:spacing w:before="120"/>
              <w:jc w:val="center"/>
              <w:rPr>
                <w:b/>
                <w:color w:val="FFFFFF" w:themeColor="background1"/>
                <w:sz w:val="16"/>
                <w:szCs w:val="16"/>
              </w:rPr>
            </w:pPr>
            <w:r w:rsidRPr="00217945">
              <w:rPr>
                <w:b/>
                <w:color w:val="FFFFFF" w:themeColor="background1"/>
                <w:sz w:val="16"/>
                <w:szCs w:val="16"/>
              </w:rPr>
              <w:t>2020/21</w:t>
            </w:r>
          </w:p>
        </w:tc>
        <w:tc>
          <w:tcPr>
            <w:tcW w:w="756" w:type="dxa"/>
            <w:shd w:val="clear" w:color="auto" w:fill="000000" w:themeFill="text1"/>
            <w:vAlign w:val="center"/>
          </w:tcPr>
          <w:p w:rsidR="00D02973" w:rsidRPr="00217945" w:rsidRDefault="00D02973" w:rsidP="00DF2FAC">
            <w:pPr>
              <w:spacing w:before="120"/>
              <w:jc w:val="center"/>
              <w:rPr>
                <w:b/>
                <w:color w:val="FFFFFF" w:themeColor="background1"/>
                <w:sz w:val="16"/>
                <w:szCs w:val="16"/>
              </w:rPr>
            </w:pPr>
            <w:r w:rsidRPr="00217945">
              <w:rPr>
                <w:b/>
                <w:color w:val="FFFFFF" w:themeColor="background1"/>
                <w:sz w:val="16"/>
                <w:szCs w:val="16"/>
              </w:rPr>
              <w:t>2021/22</w:t>
            </w:r>
          </w:p>
        </w:tc>
        <w:tc>
          <w:tcPr>
            <w:tcW w:w="756" w:type="dxa"/>
            <w:shd w:val="clear" w:color="auto" w:fill="000000" w:themeFill="text1"/>
            <w:vAlign w:val="center"/>
          </w:tcPr>
          <w:p w:rsidR="00D02973" w:rsidRPr="00217945" w:rsidRDefault="00D02973" w:rsidP="00DF2FAC">
            <w:pPr>
              <w:spacing w:before="120"/>
              <w:jc w:val="center"/>
              <w:rPr>
                <w:b/>
                <w:color w:val="FFFFFF" w:themeColor="background1"/>
                <w:sz w:val="16"/>
                <w:szCs w:val="16"/>
              </w:rPr>
            </w:pPr>
            <w:r w:rsidRPr="00217945">
              <w:rPr>
                <w:b/>
                <w:color w:val="FFFFFF" w:themeColor="background1"/>
                <w:sz w:val="16"/>
                <w:szCs w:val="16"/>
              </w:rPr>
              <w:t>2022/23</w:t>
            </w:r>
          </w:p>
        </w:tc>
        <w:tc>
          <w:tcPr>
            <w:tcW w:w="756" w:type="dxa"/>
            <w:shd w:val="clear" w:color="auto" w:fill="000000" w:themeFill="text1"/>
            <w:vAlign w:val="center"/>
          </w:tcPr>
          <w:p w:rsidR="00D02973" w:rsidRPr="00217945" w:rsidRDefault="00D02973" w:rsidP="00DF2FAC">
            <w:pPr>
              <w:spacing w:before="120"/>
              <w:jc w:val="center"/>
              <w:rPr>
                <w:b/>
                <w:color w:val="FFFFFF" w:themeColor="background1"/>
                <w:sz w:val="16"/>
                <w:szCs w:val="16"/>
              </w:rPr>
            </w:pPr>
            <w:r w:rsidRPr="00217945">
              <w:rPr>
                <w:b/>
                <w:color w:val="FFFFFF" w:themeColor="background1"/>
                <w:sz w:val="16"/>
                <w:szCs w:val="16"/>
              </w:rPr>
              <w:t>2023/24</w:t>
            </w:r>
          </w:p>
        </w:tc>
        <w:tc>
          <w:tcPr>
            <w:tcW w:w="948" w:type="dxa"/>
            <w:shd w:val="clear" w:color="auto" w:fill="000000" w:themeFill="text1"/>
            <w:vAlign w:val="center"/>
          </w:tcPr>
          <w:p w:rsidR="00D02973" w:rsidRPr="00217945" w:rsidRDefault="00D02973" w:rsidP="00DF2FAC">
            <w:pPr>
              <w:spacing w:before="120"/>
              <w:jc w:val="center"/>
              <w:rPr>
                <w:b/>
                <w:color w:val="FFFFFF" w:themeColor="background1"/>
                <w:sz w:val="16"/>
                <w:szCs w:val="16"/>
              </w:rPr>
            </w:pPr>
            <w:r w:rsidRPr="00217945">
              <w:rPr>
                <w:b/>
                <w:color w:val="FFFFFF" w:themeColor="background1"/>
                <w:sz w:val="16"/>
                <w:szCs w:val="16"/>
              </w:rPr>
              <w:t>2024/25</w:t>
            </w:r>
          </w:p>
        </w:tc>
      </w:tr>
      <w:tr w:rsidR="00D02973" w:rsidRPr="00217945" w:rsidTr="00AA1CC4">
        <w:tc>
          <w:tcPr>
            <w:tcW w:w="1120" w:type="dxa"/>
            <w:vAlign w:val="bottom"/>
          </w:tcPr>
          <w:p w:rsidR="00D02973" w:rsidRPr="00217945" w:rsidRDefault="00D02973" w:rsidP="00DF2FAC">
            <w:pPr>
              <w:spacing w:before="120"/>
              <w:jc w:val="center"/>
              <w:rPr>
                <w:sz w:val="16"/>
                <w:szCs w:val="16"/>
              </w:rPr>
            </w:pPr>
            <w:r w:rsidRPr="00127060">
              <w:rPr>
                <w:sz w:val="16"/>
                <w:szCs w:val="16"/>
              </w:rPr>
              <w:t>$1,834,913.00</w:t>
            </w:r>
          </w:p>
        </w:tc>
        <w:tc>
          <w:tcPr>
            <w:tcW w:w="1120" w:type="dxa"/>
            <w:vAlign w:val="bottom"/>
          </w:tcPr>
          <w:p w:rsidR="00D02973" w:rsidRPr="00217945" w:rsidRDefault="00D02973" w:rsidP="00DF2FAC">
            <w:pPr>
              <w:spacing w:before="120"/>
              <w:jc w:val="center"/>
              <w:rPr>
                <w:sz w:val="16"/>
                <w:szCs w:val="16"/>
              </w:rPr>
            </w:pPr>
            <w:r w:rsidRPr="00127060">
              <w:rPr>
                <w:sz w:val="16"/>
                <w:szCs w:val="16"/>
              </w:rPr>
              <w:t>$2,657,596.00</w:t>
            </w:r>
          </w:p>
        </w:tc>
        <w:tc>
          <w:tcPr>
            <w:tcW w:w="1120" w:type="dxa"/>
            <w:vAlign w:val="bottom"/>
          </w:tcPr>
          <w:p w:rsidR="00D02973" w:rsidRPr="00217945" w:rsidRDefault="00D02973" w:rsidP="00DF2FAC">
            <w:pPr>
              <w:spacing w:before="120"/>
              <w:jc w:val="center"/>
              <w:rPr>
                <w:sz w:val="16"/>
                <w:szCs w:val="16"/>
              </w:rPr>
            </w:pPr>
            <w:r w:rsidRPr="00127060">
              <w:rPr>
                <w:sz w:val="16"/>
                <w:szCs w:val="16"/>
              </w:rPr>
              <w:t>$1,155,456.00</w:t>
            </w:r>
          </w:p>
        </w:tc>
        <w:tc>
          <w:tcPr>
            <w:tcW w:w="1121" w:type="dxa"/>
            <w:vAlign w:val="bottom"/>
          </w:tcPr>
          <w:p w:rsidR="00D02973" w:rsidRPr="00217945" w:rsidRDefault="00D02973" w:rsidP="00DF2FAC">
            <w:pPr>
              <w:spacing w:before="120"/>
              <w:jc w:val="center"/>
              <w:rPr>
                <w:sz w:val="16"/>
                <w:szCs w:val="16"/>
              </w:rPr>
            </w:pPr>
            <w:r w:rsidRPr="00127060">
              <w:rPr>
                <w:sz w:val="16"/>
                <w:szCs w:val="16"/>
              </w:rPr>
              <w:t>$2,052,000.00</w:t>
            </w:r>
          </w:p>
        </w:tc>
        <w:tc>
          <w:tcPr>
            <w:tcW w:w="756" w:type="dxa"/>
            <w:vAlign w:val="center"/>
          </w:tcPr>
          <w:p w:rsidR="00D02973" w:rsidRPr="00217945" w:rsidRDefault="00D02973" w:rsidP="00DF2FAC">
            <w:pPr>
              <w:spacing w:before="120"/>
              <w:jc w:val="center"/>
              <w:rPr>
                <w:sz w:val="16"/>
                <w:szCs w:val="16"/>
              </w:rPr>
            </w:pPr>
            <w:r w:rsidRPr="00217945">
              <w:rPr>
                <w:sz w:val="16"/>
                <w:szCs w:val="16"/>
              </w:rPr>
              <w:t>-</w:t>
            </w:r>
          </w:p>
        </w:tc>
        <w:tc>
          <w:tcPr>
            <w:tcW w:w="756" w:type="dxa"/>
            <w:vAlign w:val="center"/>
          </w:tcPr>
          <w:p w:rsidR="00D02973" w:rsidRPr="00217945" w:rsidRDefault="00D02973" w:rsidP="00DF2FAC">
            <w:pPr>
              <w:spacing w:before="120"/>
              <w:jc w:val="center"/>
              <w:rPr>
                <w:sz w:val="16"/>
                <w:szCs w:val="16"/>
              </w:rPr>
            </w:pPr>
            <w:r w:rsidRPr="00217945">
              <w:rPr>
                <w:sz w:val="16"/>
                <w:szCs w:val="16"/>
              </w:rPr>
              <w:t>-</w:t>
            </w:r>
          </w:p>
        </w:tc>
        <w:tc>
          <w:tcPr>
            <w:tcW w:w="756" w:type="dxa"/>
            <w:vAlign w:val="center"/>
          </w:tcPr>
          <w:p w:rsidR="00D02973" w:rsidRPr="00217945" w:rsidRDefault="00D02973" w:rsidP="00DF2FAC">
            <w:pPr>
              <w:spacing w:before="120"/>
              <w:jc w:val="center"/>
              <w:rPr>
                <w:sz w:val="16"/>
                <w:szCs w:val="16"/>
              </w:rPr>
            </w:pPr>
            <w:r w:rsidRPr="00217945">
              <w:rPr>
                <w:sz w:val="16"/>
                <w:szCs w:val="16"/>
              </w:rPr>
              <w:t>-</w:t>
            </w:r>
          </w:p>
        </w:tc>
        <w:tc>
          <w:tcPr>
            <w:tcW w:w="756" w:type="dxa"/>
            <w:vAlign w:val="center"/>
          </w:tcPr>
          <w:p w:rsidR="00D02973" w:rsidRPr="00217945" w:rsidRDefault="00D02973" w:rsidP="00DF2FAC">
            <w:pPr>
              <w:spacing w:before="120"/>
              <w:jc w:val="center"/>
              <w:rPr>
                <w:sz w:val="16"/>
                <w:szCs w:val="16"/>
              </w:rPr>
            </w:pPr>
            <w:r w:rsidRPr="00217945">
              <w:rPr>
                <w:sz w:val="16"/>
                <w:szCs w:val="16"/>
              </w:rPr>
              <w:t>-</w:t>
            </w:r>
          </w:p>
        </w:tc>
        <w:tc>
          <w:tcPr>
            <w:tcW w:w="756" w:type="dxa"/>
            <w:vAlign w:val="center"/>
          </w:tcPr>
          <w:p w:rsidR="00D02973" w:rsidRPr="00217945" w:rsidRDefault="00D02973" w:rsidP="00DF2FAC">
            <w:pPr>
              <w:spacing w:before="120"/>
              <w:jc w:val="center"/>
              <w:rPr>
                <w:sz w:val="16"/>
                <w:szCs w:val="16"/>
              </w:rPr>
            </w:pPr>
            <w:r w:rsidRPr="00217945">
              <w:rPr>
                <w:sz w:val="16"/>
                <w:szCs w:val="16"/>
              </w:rPr>
              <w:t>-</w:t>
            </w:r>
          </w:p>
        </w:tc>
        <w:tc>
          <w:tcPr>
            <w:tcW w:w="948" w:type="dxa"/>
            <w:vAlign w:val="center"/>
          </w:tcPr>
          <w:p w:rsidR="00D02973" w:rsidRPr="00217945" w:rsidRDefault="00D02973" w:rsidP="00DF2FAC">
            <w:pPr>
              <w:spacing w:before="120"/>
              <w:jc w:val="center"/>
              <w:rPr>
                <w:sz w:val="16"/>
                <w:szCs w:val="16"/>
              </w:rPr>
            </w:pPr>
            <w:r w:rsidRPr="00217945">
              <w:rPr>
                <w:sz w:val="16"/>
                <w:szCs w:val="16"/>
              </w:rPr>
              <w:t>-</w:t>
            </w:r>
          </w:p>
        </w:tc>
      </w:tr>
    </w:tbl>
    <w:p w:rsidR="00D02973" w:rsidRPr="00EA2F26" w:rsidRDefault="00D02973" w:rsidP="00D02973">
      <w:pPr>
        <w:tabs>
          <w:tab w:val="left" w:pos="187"/>
        </w:tabs>
        <w:spacing w:before="300"/>
        <w:rPr>
          <w:rFonts w:eastAsia="Calibri" w:cs="Calibri"/>
          <w:u w:val="single"/>
          <w:lang w:eastAsia="en-AU"/>
        </w:rPr>
      </w:pPr>
      <w:r w:rsidRPr="00EA2F26">
        <w:rPr>
          <w:rFonts w:eastAsia="Calibri" w:cs="Calibri"/>
          <w:u w:val="single"/>
          <w:lang w:eastAsia="en-AU"/>
        </w:rPr>
        <w:t xml:space="preserve">Hurlingham Park Master Plan Bayside City </w:t>
      </w:r>
      <w:r>
        <w:rPr>
          <w:rFonts w:eastAsia="Calibri" w:cs="Calibri"/>
          <w:u w:val="single"/>
          <w:lang w:eastAsia="en-AU"/>
        </w:rPr>
        <w:t>Council</w:t>
      </w:r>
      <w:r w:rsidRPr="00EA2F26">
        <w:rPr>
          <w:rFonts w:eastAsia="Calibri" w:cs="Calibri"/>
          <w:u w:val="single"/>
          <w:lang w:eastAsia="en-AU"/>
        </w:rPr>
        <w:t xml:space="preserve"> (2013)</w:t>
      </w:r>
    </w:p>
    <w:p w:rsidR="00D02973" w:rsidRPr="00EA2F26" w:rsidRDefault="00D02973" w:rsidP="00D02973">
      <w:pPr>
        <w:tabs>
          <w:tab w:val="left" w:pos="217"/>
        </w:tabs>
        <w:spacing w:before="80"/>
        <w:jc w:val="both"/>
        <w:rPr>
          <w:rFonts w:eastAsia="Calibri" w:cs="Calibri"/>
          <w:lang w:eastAsia="en-AU"/>
        </w:rPr>
      </w:pPr>
      <w:r w:rsidRPr="00EA2F26">
        <w:rPr>
          <w:rFonts w:eastAsia="Calibri" w:cs="Calibri"/>
          <w:lang w:eastAsia="en-AU"/>
        </w:rPr>
        <w:t xml:space="preserve">Hurlingham Park is a 6 hectare </w:t>
      </w:r>
      <w:r>
        <w:rPr>
          <w:rFonts w:eastAsia="Calibri" w:cs="Calibri"/>
          <w:lang w:eastAsia="en-AU"/>
        </w:rPr>
        <w:t>mixed use</w:t>
      </w:r>
      <w:r w:rsidRPr="00EA2F26">
        <w:rPr>
          <w:rFonts w:eastAsia="Calibri" w:cs="Calibri"/>
          <w:lang w:eastAsia="en-AU"/>
        </w:rPr>
        <w:t xml:space="preserve"> facility zoned as Public Park </w:t>
      </w:r>
      <w:r>
        <w:rPr>
          <w:rFonts w:eastAsia="Calibri" w:cs="Calibri"/>
          <w:lang w:eastAsia="en-AU"/>
        </w:rPr>
        <w:t>and Recreation Zone. The Master P</w:t>
      </w:r>
      <w:r w:rsidRPr="00EA2F26">
        <w:rPr>
          <w:rFonts w:eastAsia="Calibri" w:cs="Calibri"/>
          <w:lang w:eastAsia="en-AU"/>
        </w:rPr>
        <w:t xml:space="preserve">lan is designed to guide the future use of the facility renewal and upgrade works to ensure harmonious use of the space between all user groups. Works proposed at the site include an upgrade of the sports pavilion.  Work on recreation and open space assets include renewal and upgrade of footpaths, carparks, drainage, playing surface, rain gardens, furniture and lighting. </w:t>
      </w:r>
    </w:p>
    <w:p w:rsidR="00D02973" w:rsidRPr="00EA2F26" w:rsidRDefault="00D02973" w:rsidP="00D02973">
      <w:pPr>
        <w:pStyle w:val="Para2"/>
        <w:spacing w:after="200" w:line="276" w:lineRule="auto"/>
        <w:ind w:left="0"/>
        <w:jc w:val="both"/>
        <w:rPr>
          <w:rFonts w:asciiTheme="minorHAnsi" w:eastAsiaTheme="minorHAnsi" w:hAnsiTheme="minorHAnsi" w:cstheme="minorBidi"/>
          <w:b/>
          <w:color w:val="auto"/>
          <w:sz w:val="22"/>
          <w:szCs w:val="22"/>
          <w:lang w:val="en-AU" w:eastAsia="en-US"/>
        </w:rPr>
      </w:pPr>
      <w:r w:rsidRPr="00EA2F26">
        <w:rPr>
          <w:rFonts w:asciiTheme="minorHAnsi" w:eastAsiaTheme="minorHAnsi" w:hAnsiTheme="minorHAnsi" w:cstheme="minorBidi"/>
          <w:b/>
          <w:color w:val="auto"/>
          <w:sz w:val="22"/>
          <w:szCs w:val="22"/>
          <w:lang w:val="en-AU" w:eastAsia="en-US"/>
        </w:rPr>
        <w:t xml:space="preserve">Table </w:t>
      </w:r>
      <w:r>
        <w:rPr>
          <w:rFonts w:asciiTheme="minorHAnsi" w:eastAsiaTheme="minorHAnsi" w:hAnsiTheme="minorHAnsi" w:cstheme="minorBidi"/>
          <w:b/>
          <w:color w:val="auto"/>
          <w:sz w:val="22"/>
          <w:szCs w:val="22"/>
          <w:lang w:val="en-AU" w:eastAsia="en-US"/>
        </w:rPr>
        <w:t>10</w:t>
      </w:r>
      <w:r w:rsidRPr="00EA2F26">
        <w:rPr>
          <w:rFonts w:asciiTheme="minorHAnsi" w:eastAsiaTheme="minorHAnsi" w:hAnsiTheme="minorHAnsi" w:cstheme="minorBidi"/>
          <w:b/>
          <w:color w:val="auto"/>
          <w:sz w:val="22"/>
          <w:szCs w:val="22"/>
          <w:lang w:val="en-AU" w:eastAsia="en-US"/>
        </w:rPr>
        <w:t>: Hurlingham Park Master Plan</w:t>
      </w:r>
      <w:r>
        <w:rPr>
          <w:rFonts w:asciiTheme="minorHAnsi" w:eastAsiaTheme="minorHAnsi" w:hAnsiTheme="minorHAnsi" w:cstheme="minorBidi"/>
          <w:b/>
          <w:color w:val="auto"/>
          <w:sz w:val="22"/>
          <w:szCs w:val="22"/>
          <w:lang w:val="en-AU" w:eastAsia="en-US"/>
        </w:rPr>
        <w:t xml:space="preserve"> 10 Year Costs</w:t>
      </w:r>
    </w:p>
    <w:tbl>
      <w:tblPr>
        <w:tblStyle w:val="TableGrid"/>
        <w:tblW w:w="0" w:type="auto"/>
        <w:tblInd w:w="108" w:type="dxa"/>
        <w:tblLook w:val="04A0" w:firstRow="1" w:lastRow="0" w:firstColumn="1" w:lastColumn="0" w:noHBand="0" w:noVBand="1"/>
      </w:tblPr>
      <w:tblGrid>
        <w:gridCol w:w="897"/>
        <w:gridCol w:w="897"/>
        <w:gridCol w:w="890"/>
        <w:gridCol w:w="889"/>
        <w:gridCol w:w="890"/>
        <w:gridCol w:w="889"/>
        <w:gridCol w:w="889"/>
        <w:gridCol w:w="889"/>
        <w:gridCol w:w="889"/>
        <w:gridCol w:w="890"/>
      </w:tblGrid>
      <w:tr w:rsidR="00D02973" w:rsidRPr="00217945" w:rsidTr="00DF2FAC">
        <w:tc>
          <w:tcPr>
            <w:tcW w:w="907" w:type="dxa"/>
            <w:shd w:val="clear" w:color="auto" w:fill="000000" w:themeFill="text1"/>
            <w:vAlign w:val="center"/>
          </w:tcPr>
          <w:p w:rsidR="00D02973" w:rsidRPr="00217945" w:rsidRDefault="00D02973" w:rsidP="00DF2FAC">
            <w:pPr>
              <w:spacing w:before="120"/>
              <w:jc w:val="center"/>
              <w:rPr>
                <w:b/>
                <w:color w:val="FFFFFF" w:themeColor="background1"/>
                <w:sz w:val="16"/>
              </w:rPr>
            </w:pPr>
            <w:r w:rsidRPr="00217945">
              <w:rPr>
                <w:b/>
                <w:color w:val="FFFFFF" w:themeColor="background1"/>
                <w:sz w:val="16"/>
              </w:rPr>
              <w:t>2015/16</w:t>
            </w:r>
          </w:p>
        </w:tc>
        <w:tc>
          <w:tcPr>
            <w:tcW w:w="907" w:type="dxa"/>
            <w:shd w:val="clear" w:color="auto" w:fill="000000" w:themeFill="text1"/>
            <w:vAlign w:val="center"/>
          </w:tcPr>
          <w:p w:rsidR="00D02973" w:rsidRPr="00217945" w:rsidRDefault="00D02973" w:rsidP="00DF2FAC">
            <w:pPr>
              <w:spacing w:before="120"/>
              <w:jc w:val="center"/>
              <w:rPr>
                <w:b/>
                <w:color w:val="FFFFFF" w:themeColor="background1"/>
                <w:sz w:val="16"/>
              </w:rPr>
            </w:pPr>
            <w:r w:rsidRPr="00217945">
              <w:rPr>
                <w:b/>
                <w:color w:val="FFFFFF" w:themeColor="background1"/>
                <w:sz w:val="16"/>
              </w:rPr>
              <w:t>2016/17</w:t>
            </w:r>
          </w:p>
        </w:tc>
        <w:tc>
          <w:tcPr>
            <w:tcW w:w="907" w:type="dxa"/>
            <w:shd w:val="clear" w:color="auto" w:fill="000000" w:themeFill="text1"/>
            <w:vAlign w:val="center"/>
          </w:tcPr>
          <w:p w:rsidR="00D02973" w:rsidRPr="00217945" w:rsidRDefault="00D02973" w:rsidP="00DF2FAC">
            <w:pPr>
              <w:spacing w:before="120"/>
              <w:jc w:val="center"/>
              <w:rPr>
                <w:b/>
                <w:color w:val="FFFFFF" w:themeColor="background1"/>
                <w:sz w:val="16"/>
              </w:rPr>
            </w:pPr>
            <w:r w:rsidRPr="00217945">
              <w:rPr>
                <w:b/>
                <w:color w:val="FFFFFF" w:themeColor="background1"/>
                <w:sz w:val="16"/>
              </w:rPr>
              <w:t>2017/18</w:t>
            </w:r>
          </w:p>
        </w:tc>
        <w:tc>
          <w:tcPr>
            <w:tcW w:w="907" w:type="dxa"/>
            <w:shd w:val="clear" w:color="auto" w:fill="000000" w:themeFill="text1"/>
            <w:vAlign w:val="center"/>
          </w:tcPr>
          <w:p w:rsidR="00D02973" w:rsidRPr="00217945" w:rsidRDefault="00D02973" w:rsidP="00DF2FAC">
            <w:pPr>
              <w:spacing w:before="120"/>
              <w:jc w:val="center"/>
              <w:rPr>
                <w:b/>
                <w:color w:val="FFFFFF" w:themeColor="background1"/>
                <w:sz w:val="16"/>
              </w:rPr>
            </w:pPr>
            <w:r w:rsidRPr="00217945">
              <w:rPr>
                <w:b/>
                <w:color w:val="FFFFFF" w:themeColor="background1"/>
                <w:sz w:val="16"/>
              </w:rPr>
              <w:t>2018/19</w:t>
            </w:r>
          </w:p>
        </w:tc>
        <w:tc>
          <w:tcPr>
            <w:tcW w:w="908" w:type="dxa"/>
            <w:shd w:val="clear" w:color="auto" w:fill="000000" w:themeFill="text1"/>
            <w:vAlign w:val="center"/>
          </w:tcPr>
          <w:p w:rsidR="00D02973" w:rsidRPr="00217945" w:rsidRDefault="00D02973" w:rsidP="00DF2FAC">
            <w:pPr>
              <w:spacing w:before="120"/>
              <w:jc w:val="center"/>
              <w:rPr>
                <w:b/>
                <w:color w:val="FFFFFF" w:themeColor="background1"/>
                <w:sz w:val="16"/>
              </w:rPr>
            </w:pPr>
            <w:r w:rsidRPr="00217945">
              <w:rPr>
                <w:b/>
                <w:color w:val="FFFFFF" w:themeColor="background1"/>
                <w:sz w:val="16"/>
              </w:rPr>
              <w:t>2019/20</w:t>
            </w:r>
          </w:p>
        </w:tc>
        <w:tc>
          <w:tcPr>
            <w:tcW w:w="907" w:type="dxa"/>
            <w:shd w:val="clear" w:color="auto" w:fill="000000" w:themeFill="text1"/>
            <w:vAlign w:val="center"/>
          </w:tcPr>
          <w:p w:rsidR="00D02973" w:rsidRPr="00217945" w:rsidRDefault="00D02973" w:rsidP="00DF2FAC">
            <w:pPr>
              <w:spacing w:before="120"/>
              <w:jc w:val="center"/>
              <w:rPr>
                <w:b/>
                <w:color w:val="FFFFFF" w:themeColor="background1"/>
                <w:sz w:val="16"/>
              </w:rPr>
            </w:pPr>
            <w:r w:rsidRPr="00217945">
              <w:rPr>
                <w:b/>
                <w:color w:val="FFFFFF" w:themeColor="background1"/>
                <w:sz w:val="16"/>
              </w:rPr>
              <w:t>2020/21</w:t>
            </w:r>
          </w:p>
        </w:tc>
        <w:tc>
          <w:tcPr>
            <w:tcW w:w="907" w:type="dxa"/>
            <w:shd w:val="clear" w:color="auto" w:fill="000000" w:themeFill="text1"/>
            <w:vAlign w:val="center"/>
          </w:tcPr>
          <w:p w:rsidR="00D02973" w:rsidRPr="00217945" w:rsidRDefault="00D02973" w:rsidP="00DF2FAC">
            <w:pPr>
              <w:spacing w:before="120"/>
              <w:jc w:val="center"/>
              <w:rPr>
                <w:b/>
                <w:color w:val="FFFFFF" w:themeColor="background1"/>
                <w:sz w:val="16"/>
              </w:rPr>
            </w:pPr>
            <w:r w:rsidRPr="00217945">
              <w:rPr>
                <w:b/>
                <w:color w:val="FFFFFF" w:themeColor="background1"/>
                <w:sz w:val="16"/>
              </w:rPr>
              <w:t>2021/22</w:t>
            </w:r>
          </w:p>
        </w:tc>
        <w:tc>
          <w:tcPr>
            <w:tcW w:w="907" w:type="dxa"/>
            <w:shd w:val="clear" w:color="auto" w:fill="000000" w:themeFill="text1"/>
            <w:vAlign w:val="center"/>
          </w:tcPr>
          <w:p w:rsidR="00D02973" w:rsidRPr="00217945" w:rsidRDefault="00D02973" w:rsidP="00DF2FAC">
            <w:pPr>
              <w:spacing w:before="120"/>
              <w:jc w:val="center"/>
              <w:rPr>
                <w:b/>
                <w:color w:val="FFFFFF" w:themeColor="background1"/>
                <w:sz w:val="16"/>
              </w:rPr>
            </w:pPr>
            <w:r w:rsidRPr="00217945">
              <w:rPr>
                <w:b/>
                <w:color w:val="FFFFFF" w:themeColor="background1"/>
                <w:sz w:val="16"/>
              </w:rPr>
              <w:t>2022/23</w:t>
            </w:r>
          </w:p>
        </w:tc>
        <w:tc>
          <w:tcPr>
            <w:tcW w:w="907" w:type="dxa"/>
            <w:shd w:val="clear" w:color="auto" w:fill="000000" w:themeFill="text1"/>
            <w:vAlign w:val="center"/>
          </w:tcPr>
          <w:p w:rsidR="00D02973" w:rsidRPr="00217945" w:rsidRDefault="00D02973" w:rsidP="00DF2FAC">
            <w:pPr>
              <w:spacing w:before="120"/>
              <w:jc w:val="center"/>
              <w:rPr>
                <w:b/>
                <w:color w:val="FFFFFF" w:themeColor="background1"/>
                <w:sz w:val="16"/>
              </w:rPr>
            </w:pPr>
            <w:r w:rsidRPr="00217945">
              <w:rPr>
                <w:b/>
                <w:color w:val="FFFFFF" w:themeColor="background1"/>
                <w:sz w:val="16"/>
              </w:rPr>
              <w:t>2023/24</w:t>
            </w:r>
          </w:p>
        </w:tc>
        <w:tc>
          <w:tcPr>
            <w:tcW w:w="908" w:type="dxa"/>
            <w:shd w:val="clear" w:color="auto" w:fill="000000" w:themeFill="text1"/>
            <w:vAlign w:val="center"/>
          </w:tcPr>
          <w:p w:rsidR="00D02973" w:rsidRPr="00217945" w:rsidRDefault="00D02973" w:rsidP="00DF2FAC">
            <w:pPr>
              <w:spacing w:before="120"/>
              <w:jc w:val="center"/>
              <w:rPr>
                <w:b/>
                <w:color w:val="FFFFFF" w:themeColor="background1"/>
                <w:sz w:val="16"/>
              </w:rPr>
            </w:pPr>
            <w:r w:rsidRPr="00217945">
              <w:rPr>
                <w:b/>
                <w:color w:val="FFFFFF" w:themeColor="background1"/>
                <w:sz w:val="16"/>
              </w:rPr>
              <w:t>2024/25</w:t>
            </w:r>
          </w:p>
        </w:tc>
      </w:tr>
      <w:tr w:rsidR="00D02973" w:rsidRPr="00217945" w:rsidTr="00DF2FAC">
        <w:tc>
          <w:tcPr>
            <w:tcW w:w="907" w:type="dxa"/>
            <w:vAlign w:val="center"/>
          </w:tcPr>
          <w:p w:rsidR="00D02973" w:rsidRPr="00217945" w:rsidRDefault="00D02973" w:rsidP="00DF2FAC">
            <w:pPr>
              <w:jc w:val="center"/>
              <w:rPr>
                <w:sz w:val="16"/>
              </w:rPr>
            </w:pPr>
            <w:r w:rsidRPr="00217945">
              <w:rPr>
                <w:sz w:val="16"/>
              </w:rPr>
              <w:t>$608,280</w:t>
            </w:r>
          </w:p>
        </w:tc>
        <w:tc>
          <w:tcPr>
            <w:tcW w:w="907" w:type="dxa"/>
            <w:vAlign w:val="center"/>
          </w:tcPr>
          <w:p w:rsidR="00D02973" w:rsidRPr="00217945" w:rsidRDefault="00D02973" w:rsidP="00DF2FAC">
            <w:pPr>
              <w:jc w:val="center"/>
              <w:rPr>
                <w:sz w:val="16"/>
              </w:rPr>
            </w:pPr>
            <w:r w:rsidRPr="00217945">
              <w:rPr>
                <w:sz w:val="16"/>
              </w:rPr>
              <w:t>$808,940</w:t>
            </w:r>
          </w:p>
        </w:tc>
        <w:tc>
          <w:tcPr>
            <w:tcW w:w="907" w:type="dxa"/>
            <w:vAlign w:val="center"/>
          </w:tcPr>
          <w:p w:rsidR="00D02973" w:rsidRPr="00217945" w:rsidRDefault="00D02973" w:rsidP="00DF2FAC">
            <w:pPr>
              <w:jc w:val="center"/>
              <w:rPr>
                <w:sz w:val="16"/>
              </w:rPr>
            </w:pPr>
            <w:r w:rsidRPr="00217945">
              <w:rPr>
                <w:sz w:val="16"/>
              </w:rPr>
              <w:t>$94,600</w:t>
            </w:r>
          </w:p>
        </w:tc>
        <w:tc>
          <w:tcPr>
            <w:tcW w:w="907" w:type="dxa"/>
            <w:vAlign w:val="center"/>
          </w:tcPr>
          <w:p w:rsidR="00D02973" w:rsidRPr="00217945" w:rsidRDefault="00D02973" w:rsidP="00DF2FAC">
            <w:pPr>
              <w:spacing w:before="120"/>
              <w:jc w:val="center"/>
              <w:rPr>
                <w:sz w:val="16"/>
              </w:rPr>
            </w:pPr>
            <w:r w:rsidRPr="00217945">
              <w:rPr>
                <w:sz w:val="16"/>
              </w:rPr>
              <w:t>-</w:t>
            </w:r>
          </w:p>
        </w:tc>
        <w:tc>
          <w:tcPr>
            <w:tcW w:w="908" w:type="dxa"/>
            <w:vAlign w:val="center"/>
          </w:tcPr>
          <w:p w:rsidR="00D02973" w:rsidRPr="00217945" w:rsidRDefault="00D02973" w:rsidP="00DF2FAC">
            <w:pPr>
              <w:spacing w:before="120"/>
              <w:jc w:val="center"/>
              <w:rPr>
                <w:sz w:val="16"/>
              </w:rPr>
            </w:pPr>
            <w:r w:rsidRPr="00217945">
              <w:rPr>
                <w:sz w:val="16"/>
              </w:rPr>
              <w:t>-</w:t>
            </w:r>
          </w:p>
        </w:tc>
        <w:tc>
          <w:tcPr>
            <w:tcW w:w="907" w:type="dxa"/>
            <w:vAlign w:val="center"/>
          </w:tcPr>
          <w:p w:rsidR="00D02973" w:rsidRPr="00217945" w:rsidRDefault="00D02973" w:rsidP="00DF2FAC">
            <w:pPr>
              <w:spacing w:before="120"/>
              <w:jc w:val="center"/>
              <w:rPr>
                <w:sz w:val="16"/>
              </w:rPr>
            </w:pPr>
            <w:r w:rsidRPr="00217945">
              <w:rPr>
                <w:sz w:val="16"/>
              </w:rPr>
              <w:t>-</w:t>
            </w:r>
          </w:p>
        </w:tc>
        <w:tc>
          <w:tcPr>
            <w:tcW w:w="907" w:type="dxa"/>
            <w:vAlign w:val="center"/>
          </w:tcPr>
          <w:p w:rsidR="00D02973" w:rsidRPr="00217945" w:rsidRDefault="00D02973" w:rsidP="00DF2FAC">
            <w:pPr>
              <w:spacing w:before="120"/>
              <w:jc w:val="center"/>
              <w:rPr>
                <w:sz w:val="16"/>
              </w:rPr>
            </w:pPr>
            <w:r w:rsidRPr="00217945">
              <w:rPr>
                <w:sz w:val="16"/>
              </w:rPr>
              <w:t>-</w:t>
            </w:r>
          </w:p>
        </w:tc>
        <w:tc>
          <w:tcPr>
            <w:tcW w:w="907" w:type="dxa"/>
            <w:vAlign w:val="center"/>
          </w:tcPr>
          <w:p w:rsidR="00D02973" w:rsidRPr="00217945" w:rsidRDefault="00D02973" w:rsidP="00DF2FAC">
            <w:pPr>
              <w:spacing w:before="120"/>
              <w:jc w:val="center"/>
              <w:rPr>
                <w:sz w:val="16"/>
              </w:rPr>
            </w:pPr>
            <w:r w:rsidRPr="00217945">
              <w:rPr>
                <w:sz w:val="16"/>
              </w:rPr>
              <w:t>-</w:t>
            </w:r>
          </w:p>
        </w:tc>
        <w:tc>
          <w:tcPr>
            <w:tcW w:w="907" w:type="dxa"/>
            <w:vAlign w:val="center"/>
          </w:tcPr>
          <w:p w:rsidR="00D02973" w:rsidRPr="00217945" w:rsidRDefault="00D02973" w:rsidP="00DF2FAC">
            <w:pPr>
              <w:spacing w:before="120"/>
              <w:jc w:val="center"/>
              <w:rPr>
                <w:sz w:val="16"/>
              </w:rPr>
            </w:pPr>
            <w:r w:rsidRPr="00217945">
              <w:rPr>
                <w:sz w:val="16"/>
              </w:rPr>
              <w:t>-</w:t>
            </w:r>
          </w:p>
        </w:tc>
        <w:tc>
          <w:tcPr>
            <w:tcW w:w="908" w:type="dxa"/>
            <w:vAlign w:val="center"/>
          </w:tcPr>
          <w:p w:rsidR="00D02973" w:rsidRPr="00217945" w:rsidRDefault="00D02973" w:rsidP="00DF2FAC">
            <w:pPr>
              <w:spacing w:before="120"/>
              <w:jc w:val="center"/>
              <w:rPr>
                <w:sz w:val="16"/>
              </w:rPr>
            </w:pPr>
            <w:r w:rsidRPr="00217945">
              <w:rPr>
                <w:sz w:val="16"/>
              </w:rPr>
              <w:t>-</w:t>
            </w:r>
          </w:p>
        </w:tc>
      </w:tr>
    </w:tbl>
    <w:p w:rsidR="00D02973" w:rsidRPr="00EA2F26" w:rsidRDefault="00D02973" w:rsidP="00D02973">
      <w:pPr>
        <w:tabs>
          <w:tab w:val="left" w:pos="187"/>
        </w:tabs>
        <w:spacing w:before="300"/>
        <w:rPr>
          <w:rFonts w:eastAsia="Calibri" w:cs="Calibri"/>
          <w:u w:val="single"/>
          <w:lang w:eastAsia="en-AU"/>
        </w:rPr>
      </w:pPr>
      <w:r w:rsidRPr="00EA2F26">
        <w:rPr>
          <w:rFonts w:eastAsia="Calibri" w:cs="Calibri"/>
          <w:u w:val="single"/>
          <w:lang w:eastAsia="en-AU"/>
        </w:rPr>
        <w:t>Elsternwick Park Master</w:t>
      </w:r>
      <w:r>
        <w:rPr>
          <w:rFonts w:eastAsia="Calibri" w:cs="Calibri"/>
          <w:u w:val="single"/>
          <w:lang w:eastAsia="en-AU"/>
        </w:rPr>
        <w:t xml:space="preserve"> P</w:t>
      </w:r>
      <w:r w:rsidRPr="00EA2F26">
        <w:rPr>
          <w:rFonts w:eastAsia="Calibri" w:cs="Calibri"/>
          <w:u w:val="single"/>
          <w:lang w:eastAsia="en-AU"/>
        </w:rPr>
        <w:t>lan</w:t>
      </w:r>
    </w:p>
    <w:p w:rsidR="00D02973" w:rsidRPr="00EA2F26" w:rsidRDefault="00D02973" w:rsidP="00D02973">
      <w:pPr>
        <w:tabs>
          <w:tab w:val="left" w:pos="217"/>
        </w:tabs>
        <w:spacing w:before="80"/>
        <w:jc w:val="both"/>
        <w:rPr>
          <w:rFonts w:eastAsia="Calibri" w:cs="Calibri"/>
          <w:lang w:eastAsia="en-AU"/>
        </w:rPr>
      </w:pPr>
      <w:r w:rsidRPr="00EA2F26">
        <w:rPr>
          <w:rFonts w:eastAsia="Calibri" w:cs="Calibri"/>
          <w:lang w:eastAsia="en-AU"/>
        </w:rPr>
        <w:t xml:space="preserve">In March 2016 the Victorian Government committed $3 million towards the $6 million upgrade of No.1 Oval precinct at Elsternwick Park. The funds add to contributions of $1.2 million from </w:t>
      </w:r>
      <w:r>
        <w:rPr>
          <w:rFonts w:eastAsia="Calibri" w:cs="Calibri"/>
          <w:lang w:eastAsia="en-AU"/>
        </w:rPr>
        <w:t>Council</w:t>
      </w:r>
      <w:r w:rsidRPr="00EA2F26">
        <w:rPr>
          <w:rFonts w:eastAsia="Calibri" w:cs="Calibri"/>
          <w:lang w:eastAsia="en-AU"/>
        </w:rPr>
        <w:t>, $1.05 million from the Victorian Amateur Football Association and $250,000 each from AFL, AFL Victoria and Old Melbournians Football Club.</w:t>
      </w:r>
    </w:p>
    <w:p w:rsidR="00D02973" w:rsidRDefault="00D02973" w:rsidP="00D02973">
      <w:pPr>
        <w:tabs>
          <w:tab w:val="left" w:pos="217"/>
        </w:tabs>
        <w:spacing w:before="80"/>
        <w:jc w:val="both"/>
        <w:rPr>
          <w:rFonts w:eastAsia="Calibri" w:cs="Calibri"/>
          <w:lang w:eastAsia="en-AU"/>
        </w:rPr>
      </w:pPr>
      <w:r w:rsidRPr="00EA2F26">
        <w:rPr>
          <w:rFonts w:eastAsia="Calibri" w:cs="Calibri"/>
          <w:lang w:eastAsia="en-AU"/>
        </w:rPr>
        <w:t>The improvement to the Park include an upgrade to the pavilion as well as reshaping the sportsground and installation of drought tolerant couch grass as well as an upgrade to the sportsground lighting.</w:t>
      </w:r>
    </w:p>
    <w:p w:rsidR="00D02973" w:rsidRPr="00EA2F26" w:rsidRDefault="00D02973" w:rsidP="00D02973">
      <w:pPr>
        <w:tabs>
          <w:tab w:val="left" w:pos="217"/>
        </w:tabs>
        <w:spacing w:before="80"/>
        <w:jc w:val="both"/>
        <w:rPr>
          <w:rFonts w:eastAsia="Calibri" w:cs="Calibri"/>
          <w:lang w:eastAsia="en-AU"/>
        </w:rPr>
      </w:pPr>
      <w:r>
        <w:rPr>
          <w:rFonts w:eastAsia="Calibri" w:cs="Calibri"/>
          <w:lang w:eastAsia="en-AU"/>
        </w:rPr>
        <w:t xml:space="preserve">Consultation on the future use of the residential northern section of Elsternwick Park is currently underway in 2016. </w:t>
      </w:r>
      <w:r w:rsidRPr="00EA2F26">
        <w:rPr>
          <w:rFonts w:eastAsia="Calibri" w:cs="Calibri"/>
          <w:lang w:eastAsia="en-AU"/>
        </w:rPr>
        <w:t xml:space="preserve"> </w:t>
      </w:r>
    </w:p>
    <w:p w:rsidR="00D02973" w:rsidRPr="00EA2F26" w:rsidRDefault="00D02973" w:rsidP="00D02973">
      <w:pPr>
        <w:tabs>
          <w:tab w:val="left" w:pos="217"/>
        </w:tabs>
        <w:spacing w:before="80"/>
        <w:jc w:val="both"/>
        <w:rPr>
          <w:rFonts w:eastAsia="Calibri" w:cs="Calibri"/>
          <w:u w:val="single"/>
          <w:lang w:eastAsia="en-AU"/>
        </w:rPr>
      </w:pPr>
      <w:r w:rsidRPr="00EA2F26">
        <w:rPr>
          <w:rFonts w:eastAsia="Calibri" w:cs="Calibri"/>
          <w:u w:val="single"/>
          <w:lang w:eastAsia="en-AU"/>
        </w:rPr>
        <w:t>Bayside Coastal Management Plan (2013)</w:t>
      </w:r>
    </w:p>
    <w:p w:rsidR="00D02973" w:rsidRPr="00EA2F26" w:rsidRDefault="00D02973" w:rsidP="00D02973">
      <w:pPr>
        <w:tabs>
          <w:tab w:val="left" w:pos="217"/>
        </w:tabs>
        <w:spacing w:before="80"/>
        <w:jc w:val="both"/>
        <w:rPr>
          <w:rFonts w:eastAsia="Calibri" w:cs="Calibri"/>
          <w:lang w:eastAsia="en-AU"/>
        </w:rPr>
      </w:pPr>
      <w:r w:rsidRPr="00EA2F26">
        <w:rPr>
          <w:rFonts w:eastAsia="Calibri" w:cs="Calibri"/>
          <w:lang w:eastAsia="en-AU"/>
        </w:rPr>
        <w:t>The Coastal Management Plan provides strategic direction and policy on coastal use, management and development for the foreshore area. The strategy aims to provide long term strategic vision for the Bayside foreshore. The strategy aims formalises the 11 foreshore precinct areas features and opportunities. A detailed action plan will be prepared for each of the 11 foreshore precincts. Several plans have already been prepared, and a number are being prepared for completion in 2016 as follows:</w:t>
      </w:r>
    </w:p>
    <w:p w:rsidR="00D02973" w:rsidRPr="00EA2F26" w:rsidRDefault="00D02973" w:rsidP="00D02973">
      <w:pPr>
        <w:pStyle w:val="ListParagraph"/>
        <w:numPr>
          <w:ilvl w:val="0"/>
          <w:numId w:val="38"/>
        </w:numPr>
        <w:tabs>
          <w:tab w:val="left" w:pos="217"/>
        </w:tabs>
        <w:spacing w:before="80"/>
        <w:jc w:val="both"/>
        <w:rPr>
          <w:rFonts w:eastAsia="Calibri" w:cs="Calibri"/>
          <w:lang w:eastAsia="en-AU"/>
        </w:rPr>
      </w:pPr>
      <w:r w:rsidRPr="00EA2F26">
        <w:rPr>
          <w:rFonts w:eastAsia="Calibri" w:cs="Calibri"/>
          <w:lang w:eastAsia="en-AU"/>
        </w:rPr>
        <w:t>Sandringham Foreshore Coastal Management Plan (2010)</w:t>
      </w:r>
    </w:p>
    <w:p w:rsidR="00D02973" w:rsidRPr="00EA2F26" w:rsidRDefault="00D02973" w:rsidP="00D02973">
      <w:pPr>
        <w:pStyle w:val="ListParagraph"/>
        <w:numPr>
          <w:ilvl w:val="0"/>
          <w:numId w:val="38"/>
        </w:numPr>
        <w:tabs>
          <w:tab w:val="left" w:pos="217"/>
        </w:tabs>
        <w:spacing w:before="80"/>
        <w:jc w:val="both"/>
        <w:rPr>
          <w:rFonts w:eastAsia="Calibri" w:cs="Calibri"/>
          <w:lang w:eastAsia="en-AU"/>
        </w:rPr>
      </w:pPr>
      <w:r w:rsidRPr="00EA2F26">
        <w:rPr>
          <w:rFonts w:eastAsia="Calibri" w:cs="Calibri"/>
          <w:lang w:eastAsia="en-AU"/>
        </w:rPr>
        <w:lastRenderedPageBreak/>
        <w:t>Sandringham (Precinct 6) Foreshore Master plan (2015)</w:t>
      </w:r>
    </w:p>
    <w:p w:rsidR="00D02973" w:rsidRPr="00EA2F26" w:rsidRDefault="00D02973" w:rsidP="00D02973">
      <w:pPr>
        <w:pStyle w:val="ListParagraph"/>
        <w:numPr>
          <w:ilvl w:val="0"/>
          <w:numId w:val="38"/>
        </w:numPr>
        <w:tabs>
          <w:tab w:val="left" w:pos="217"/>
        </w:tabs>
        <w:spacing w:before="80"/>
        <w:jc w:val="both"/>
        <w:rPr>
          <w:rFonts w:eastAsia="Calibri" w:cs="Calibri"/>
          <w:lang w:eastAsia="en-AU"/>
        </w:rPr>
      </w:pPr>
      <w:r w:rsidRPr="00EA2F26">
        <w:rPr>
          <w:rFonts w:eastAsia="Calibri" w:cs="Calibri"/>
          <w:lang w:eastAsia="en-AU"/>
        </w:rPr>
        <w:t>Blackrock (Precinct 9) Foreshore Master plan (scheduled for 2016)</w:t>
      </w:r>
    </w:p>
    <w:p w:rsidR="00D02973" w:rsidRPr="00EA2F26" w:rsidRDefault="00D02973" w:rsidP="00D02973">
      <w:pPr>
        <w:pStyle w:val="ListParagraph"/>
        <w:numPr>
          <w:ilvl w:val="0"/>
          <w:numId w:val="38"/>
        </w:numPr>
        <w:tabs>
          <w:tab w:val="left" w:pos="217"/>
        </w:tabs>
        <w:spacing w:before="80"/>
        <w:jc w:val="both"/>
        <w:rPr>
          <w:rFonts w:eastAsia="Calibri" w:cs="Calibri"/>
          <w:lang w:eastAsia="en-AU"/>
        </w:rPr>
      </w:pPr>
      <w:r w:rsidRPr="00EA2F26">
        <w:rPr>
          <w:rFonts w:eastAsia="Calibri" w:cs="Calibri"/>
          <w:lang w:eastAsia="en-AU"/>
        </w:rPr>
        <w:t>Sandringham (Precinct 7) Foreshore Master plan (scheduled for 2016)</w:t>
      </w:r>
    </w:p>
    <w:p w:rsidR="00D02973" w:rsidRDefault="00D02973" w:rsidP="00D02973">
      <w:pPr>
        <w:pStyle w:val="ListParagraph"/>
        <w:numPr>
          <w:ilvl w:val="0"/>
          <w:numId w:val="38"/>
        </w:numPr>
        <w:tabs>
          <w:tab w:val="left" w:pos="217"/>
        </w:tabs>
        <w:spacing w:before="80"/>
        <w:jc w:val="both"/>
        <w:rPr>
          <w:rFonts w:eastAsia="Calibri" w:cs="Calibri"/>
          <w:lang w:eastAsia="en-AU"/>
        </w:rPr>
      </w:pPr>
      <w:r w:rsidRPr="00EA2F26">
        <w:rPr>
          <w:rFonts w:eastAsia="Calibri" w:cs="Calibri"/>
          <w:lang w:eastAsia="en-AU"/>
        </w:rPr>
        <w:t>Brighton (Precinct 5) Foreshore Master plan (scheduled for 2016)</w:t>
      </w:r>
    </w:p>
    <w:p w:rsidR="00D02973" w:rsidRPr="00930B07" w:rsidRDefault="00D02973" w:rsidP="00D02973">
      <w:pPr>
        <w:tabs>
          <w:tab w:val="left" w:pos="217"/>
        </w:tabs>
        <w:spacing w:before="80"/>
        <w:jc w:val="both"/>
        <w:rPr>
          <w:rFonts w:eastAsia="Calibri" w:cs="Calibri"/>
          <w:lang w:eastAsia="en-AU"/>
        </w:rPr>
      </w:pPr>
      <w:r>
        <w:rPr>
          <w:rFonts w:eastAsia="Calibri" w:cs="Calibri"/>
          <w:lang w:eastAsia="en-AU"/>
        </w:rPr>
        <w:t>As these plans are completed, further understanding of the costs associated with upgrading existing or constructing new assets will be available for future versions of this document.</w:t>
      </w:r>
    </w:p>
    <w:p w:rsidR="00D02973" w:rsidRPr="00EA2F26" w:rsidRDefault="00D02973" w:rsidP="00D02973">
      <w:pPr>
        <w:tabs>
          <w:tab w:val="left" w:pos="217"/>
          <w:tab w:val="left" w:pos="3828"/>
        </w:tabs>
        <w:spacing w:before="80"/>
        <w:rPr>
          <w:rFonts w:eastAsia="Calibri" w:cs="Calibri"/>
          <w:u w:val="single"/>
          <w:lang w:eastAsia="en-AU"/>
        </w:rPr>
      </w:pPr>
      <w:r w:rsidRPr="00EA2F26">
        <w:rPr>
          <w:rFonts w:eastAsia="Calibri" w:cs="Calibri"/>
          <w:u w:val="single"/>
          <w:lang w:eastAsia="en-AU"/>
        </w:rPr>
        <w:t>Bushland Strategy 2002</w:t>
      </w:r>
    </w:p>
    <w:p w:rsidR="00D02973" w:rsidRPr="00EA2F26" w:rsidRDefault="00D02973" w:rsidP="00D02973">
      <w:pPr>
        <w:tabs>
          <w:tab w:val="left" w:pos="217"/>
          <w:tab w:val="left" w:pos="3828"/>
        </w:tabs>
        <w:spacing w:before="80"/>
        <w:rPr>
          <w:rFonts w:eastAsia="Calibri" w:cs="Calibri"/>
          <w:lang w:eastAsia="en-AU"/>
        </w:rPr>
      </w:pPr>
      <w:r>
        <w:rPr>
          <w:rFonts w:eastAsia="Calibri" w:cs="Calibri"/>
          <w:lang w:eastAsia="en-AU"/>
        </w:rPr>
        <w:t>Council</w:t>
      </w:r>
      <w:r w:rsidRPr="00EA2F26">
        <w:rPr>
          <w:rFonts w:eastAsia="Calibri" w:cs="Calibri"/>
          <w:lang w:eastAsia="en-AU"/>
        </w:rPr>
        <w:t xml:space="preserve">’s bushland strategy acknowledges the contribution that bushlands have to the visual identity of Bayside. These belts provide refuge and habitat for indigenous fauna and service as "island sanctuaries' within an increasingly urban environment. </w:t>
      </w:r>
      <w:r>
        <w:rPr>
          <w:rFonts w:eastAsia="Calibri" w:cs="Calibri"/>
          <w:lang w:eastAsia="en-AU"/>
        </w:rPr>
        <w:t>This strategy will be incorporated into an overarching Biodiversity Action Plan in 2016/17.</w:t>
      </w:r>
    </w:p>
    <w:p w:rsidR="00D02973" w:rsidRDefault="00D02973" w:rsidP="00D02973">
      <w:pPr>
        <w:tabs>
          <w:tab w:val="left" w:pos="3828"/>
        </w:tabs>
        <w:autoSpaceDE w:val="0"/>
        <w:autoSpaceDN w:val="0"/>
        <w:adjustRightInd w:val="0"/>
        <w:rPr>
          <w:rFonts w:cs="Calibri"/>
          <w:bCs/>
          <w:iCs/>
          <w:color w:val="000000"/>
        </w:rPr>
      </w:pPr>
      <w:r w:rsidRPr="00EA2F26">
        <w:rPr>
          <w:rFonts w:cs="Calibri"/>
          <w:bCs/>
          <w:color w:val="000000"/>
          <w:u w:val="single"/>
        </w:rPr>
        <w:t>Bayside Tree Strategy 2011</w:t>
      </w:r>
      <w:r>
        <w:rPr>
          <w:rFonts w:cs="Calibri"/>
          <w:bCs/>
          <w:color w:val="000000"/>
          <w:u w:val="single"/>
        </w:rPr>
        <w:t xml:space="preserve"> and </w:t>
      </w:r>
      <w:r w:rsidRPr="00EA2F26">
        <w:rPr>
          <w:rFonts w:cs="Calibri"/>
          <w:bCs/>
          <w:iCs/>
          <w:color w:val="000000"/>
          <w:u w:val="single"/>
        </w:rPr>
        <w:t>Street and Park Tree Management Policy</w:t>
      </w:r>
      <w:r>
        <w:rPr>
          <w:rFonts w:cs="Calibri"/>
          <w:bCs/>
          <w:iCs/>
          <w:color w:val="000000"/>
          <w:u w:val="single"/>
        </w:rPr>
        <w:t xml:space="preserve"> 2016</w:t>
      </w:r>
      <w:r w:rsidRPr="00EA2F26">
        <w:rPr>
          <w:rFonts w:cs="Calibri"/>
          <w:bCs/>
          <w:iCs/>
          <w:color w:val="000000"/>
        </w:rPr>
        <w:t xml:space="preserve"> </w:t>
      </w:r>
    </w:p>
    <w:p w:rsidR="00D02973" w:rsidRPr="004D3343" w:rsidRDefault="00D02973" w:rsidP="00D02973">
      <w:pPr>
        <w:tabs>
          <w:tab w:val="left" w:pos="3828"/>
        </w:tabs>
        <w:autoSpaceDE w:val="0"/>
        <w:autoSpaceDN w:val="0"/>
        <w:adjustRightInd w:val="0"/>
        <w:rPr>
          <w:rFonts w:cs="Calibri"/>
          <w:bCs/>
          <w:iCs/>
          <w:color w:val="000000"/>
        </w:rPr>
      </w:pPr>
      <w:r w:rsidRPr="004D3343">
        <w:rPr>
          <w:rFonts w:cs="Calibri"/>
          <w:bCs/>
          <w:color w:val="000000"/>
        </w:rPr>
        <w:t>The</w:t>
      </w:r>
      <w:r>
        <w:rPr>
          <w:rFonts w:cs="Calibri"/>
          <w:bCs/>
          <w:color w:val="000000"/>
        </w:rPr>
        <w:t xml:space="preserve">se documents </w:t>
      </w:r>
      <w:r>
        <w:rPr>
          <w:rFonts w:cs="Calibri"/>
          <w:bCs/>
          <w:iCs/>
          <w:color w:val="000000"/>
        </w:rPr>
        <w:t>provide</w:t>
      </w:r>
      <w:r w:rsidRPr="004D3343">
        <w:rPr>
          <w:rFonts w:cs="Calibri"/>
          <w:bCs/>
          <w:iCs/>
          <w:color w:val="000000"/>
        </w:rPr>
        <w:t xml:space="preserve"> a framework of actions to ensure that the future public and private spaces within Bayside are </w:t>
      </w:r>
      <w:r>
        <w:rPr>
          <w:rFonts w:cs="Calibri"/>
          <w:bCs/>
          <w:iCs/>
          <w:color w:val="000000"/>
        </w:rPr>
        <w:t xml:space="preserve">leafy. </w:t>
      </w:r>
      <w:r w:rsidRPr="00EA2F26">
        <w:rPr>
          <w:rFonts w:cs="Calibri"/>
          <w:color w:val="000000"/>
        </w:rPr>
        <w:t>Every two years an audit of all trees takes place to determine which trees are missing or have reached the end of their useful life. Replacement and maintenance programs are then structured for this work to be carried out in an efficient manner based on allocated funding.</w:t>
      </w:r>
    </w:p>
    <w:p w:rsidR="00D02973" w:rsidRDefault="00D02973" w:rsidP="00D02973">
      <w:pPr>
        <w:tabs>
          <w:tab w:val="left" w:pos="3828"/>
        </w:tabs>
        <w:rPr>
          <w:rFonts w:cs="Calibri"/>
          <w:color w:val="000000"/>
        </w:rPr>
      </w:pPr>
      <w:r w:rsidRPr="00EA2F26">
        <w:rPr>
          <w:rFonts w:cs="Calibri"/>
          <w:color w:val="000000"/>
        </w:rPr>
        <w:t>Funding for tree replacement is normally provided in the operating budget and is not considered part of the Capital Works program unless it is part of a project to upgrade a park or park infrastructure.</w:t>
      </w:r>
      <w:r>
        <w:rPr>
          <w:rFonts w:cs="Calibri"/>
          <w:color w:val="000000"/>
        </w:rPr>
        <w:t xml:space="preserve"> This will be addressed in the Improvement Plan.</w:t>
      </w:r>
    </w:p>
    <w:p w:rsidR="00D02973" w:rsidRPr="00DC775E" w:rsidRDefault="00D02973" w:rsidP="00D02973">
      <w:pPr>
        <w:pStyle w:val="CTAMPBody"/>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Other planned Asset Upgrade Strategies to be included in a future revision of this document will be the </w:t>
      </w:r>
      <w:r w:rsidRPr="00EA2F26">
        <w:rPr>
          <w:rFonts w:asciiTheme="minorHAnsi" w:eastAsiaTheme="minorHAnsi" w:hAnsiTheme="minorHAnsi" w:cstheme="minorBidi"/>
          <w:sz w:val="22"/>
          <w:szCs w:val="22"/>
        </w:rPr>
        <w:t>Tennis Strategy</w:t>
      </w:r>
      <w:r>
        <w:rPr>
          <w:rFonts w:asciiTheme="minorHAnsi" w:eastAsiaTheme="minorHAnsi" w:hAnsiTheme="minorHAnsi" w:cstheme="minorBidi"/>
          <w:sz w:val="22"/>
          <w:szCs w:val="22"/>
        </w:rPr>
        <w:t>, including a regional tennis centre feasibility study and planning for Netball and Basketball facilities</w:t>
      </w:r>
      <w:r w:rsidRPr="00EA2F26">
        <w:rPr>
          <w:rFonts w:asciiTheme="minorHAnsi" w:eastAsiaTheme="minorHAnsi" w:hAnsiTheme="minorHAnsi" w:cstheme="minorBidi"/>
          <w:sz w:val="22"/>
          <w:szCs w:val="22"/>
        </w:rPr>
        <w:t>.</w:t>
      </w:r>
    </w:p>
    <w:p w:rsidR="00D02973" w:rsidRPr="00EA2F26" w:rsidRDefault="00D02973" w:rsidP="00D02973">
      <w:pPr>
        <w:pStyle w:val="Heading3"/>
        <w:spacing w:after="200"/>
        <w:rPr>
          <w:rFonts w:asciiTheme="minorHAnsi" w:hAnsiTheme="minorHAnsi"/>
          <w:color w:val="808080" w:themeColor="background1" w:themeShade="80"/>
        </w:rPr>
      </w:pPr>
      <w:bookmarkStart w:id="56" w:name="_Toc446068443"/>
      <w:bookmarkStart w:id="57" w:name="_Toc448475209"/>
      <w:r w:rsidRPr="00EA2F26">
        <w:rPr>
          <w:rFonts w:asciiTheme="minorHAnsi" w:hAnsiTheme="minorHAnsi"/>
          <w:color w:val="808080" w:themeColor="background1" w:themeShade="80"/>
        </w:rPr>
        <w:t>4.7.5</w:t>
      </w:r>
      <w:r w:rsidRPr="00EA2F26">
        <w:rPr>
          <w:rFonts w:asciiTheme="minorHAnsi" w:hAnsiTheme="minorHAnsi"/>
          <w:color w:val="808080" w:themeColor="background1" w:themeShade="80"/>
        </w:rPr>
        <w:tab/>
        <w:t>Strategic Service Reviews</w:t>
      </w:r>
      <w:bookmarkEnd w:id="56"/>
      <w:bookmarkEnd w:id="57"/>
    </w:p>
    <w:p w:rsidR="00D02973" w:rsidRPr="00EA2F26" w:rsidRDefault="00D02973" w:rsidP="00D02973">
      <w:pPr>
        <w:pStyle w:val="CTAMPBody"/>
        <w:spacing w:after="200" w:line="276" w:lineRule="auto"/>
        <w:rPr>
          <w:rFonts w:asciiTheme="minorHAnsi" w:eastAsiaTheme="minorHAnsi" w:hAnsiTheme="minorHAnsi" w:cstheme="minorBidi"/>
          <w:sz w:val="22"/>
          <w:szCs w:val="22"/>
        </w:rPr>
      </w:pPr>
      <w:r w:rsidRPr="00EA2F26">
        <w:rPr>
          <w:rFonts w:asciiTheme="minorHAnsi" w:eastAsiaTheme="minorHAnsi" w:hAnsiTheme="minorHAnsi" w:cstheme="minorBidi"/>
          <w:sz w:val="22"/>
          <w:szCs w:val="22"/>
        </w:rPr>
        <w:t xml:space="preserve">To ensure its services demonstrate best value to the Bayside community, </w:t>
      </w:r>
      <w:r>
        <w:rPr>
          <w:rFonts w:asciiTheme="minorHAnsi" w:eastAsiaTheme="minorHAnsi" w:hAnsiTheme="minorHAnsi" w:cstheme="minorBidi"/>
          <w:sz w:val="22"/>
          <w:szCs w:val="22"/>
        </w:rPr>
        <w:t>Council</w:t>
      </w:r>
      <w:r w:rsidRPr="00EA2F26">
        <w:rPr>
          <w:rFonts w:asciiTheme="minorHAnsi" w:eastAsiaTheme="minorHAnsi" w:hAnsiTheme="minorHAnsi" w:cstheme="minorBidi"/>
          <w:sz w:val="22"/>
          <w:szCs w:val="22"/>
        </w:rPr>
        <w:t xml:space="preserve"> commenced a rolling program of Strategic Service Reviews (SSRs) in 2014 and currently aims to complete four SSRs per annum. The six SSRs completed to date include:</w:t>
      </w:r>
    </w:p>
    <w:p w:rsidR="00D02973" w:rsidRPr="00EA2F26" w:rsidRDefault="00D02973" w:rsidP="00D02973">
      <w:pPr>
        <w:pStyle w:val="ListParagraph"/>
        <w:numPr>
          <w:ilvl w:val="0"/>
          <w:numId w:val="24"/>
        </w:numPr>
      </w:pPr>
      <w:r w:rsidRPr="00EA2F26">
        <w:t>Home and Community Aged Care</w:t>
      </w:r>
    </w:p>
    <w:p w:rsidR="00D02973" w:rsidRPr="00EA2F26" w:rsidRDefault="00D02973" w:rsidP="00D02973">
      <w:pPr>
        <w:pStyle w:val="ListParagraph"/>
        <w:numPr>
          <w:ilvl w:val="0"/>
          <w:numId w:val="24"/>
        </w:numPr>
      </w:pPr>
      <w:r w:rsidRPr="00EA2F26">
        <w:t>Statutory Planning</w:t>
      </w:r>
    </w:p>
    <w:p w:rsidR="00D02973" w:rsidRPr="00EA2F26" w:rsidRDefault="00D02973" w:rsidP="00D02973">
      <w:pPr>
        <w:pStyle w:val="ListParagraph"/>
        <w:numPr>
          <w:ilvl w:val="0"/>
          <w:numId w:val="24"/>
        </w:numPr>
      </w:pPr>
      <w:r w:rsidRPr="00EA2F26">
        <w:t>Arts and Culture</w:t>
      </w:r>
    </w:p>
    <w:p w:rsidR="00D02973" w:rsidRPr="00EA2F26" w:rsidRDefault="00D02973" w:rsidP="00D02973">
      <w:pPr>
        <w:pStyle w:val="ListParagraph"/>
        <w:numPr>
          <w:ilvl w:val="0"/>
          <w:numId w:val="24"/>
        </w:numPr>
      </w:pPr>
      <w:r w:rsidRPr="00EA2F26">
        <w:t>Youth Services</w:t>
      </w:r>
    </w:p>
    <w:p w:rsidR="00D02973" w:rsidRPr="00EA2F26" w:rsidRDefault="00D02973" w:rsidP="00D02973">
      <w:pPr>
        <w:pStyle w:val="ListParagraph"/>
        <w:numPr>
          <w:ilvl w:val="0"/>
          <w:numId w:val="24"/>
        </w:numPr>
        <w:ind w:left="714" w:hanging="357"/>
        <w:contextualSpacing w:val="0"/>
      </w:pPr>
      <w:r w:rsidRPr="00EA2F26">
        <w:t>Maternal and Child Health</w:t>
      </w:r>
    </w:p>
    <w:p w:rsidR="00D02973" w:rsidRPr="00EA2F26" w:rsidRDefault="00D02973" w:rsidP="00D02973">
      <w:pPr>
        <w:pStyle w:val="Heading3"/>
        <w:spacing w:after="200"/>
        <w:rPr>
          <w:rFonts w:asciiTheme="minorHAnsi" w:hAnsiTheme="minorHAnsi"/>
          <w:color w:val="808080" w:themeColor="background1" w:themeShade="80"/>
        </w:rPr>
      </w:pPr>
      <w:bookmarkStart w:id="58" w:name="_Toc448475210"/>
      <w:r w:rsidRPr="00EA2F26">
        <w:rPr>
          <w:rFonts w:asciiTheme="minorHAnsi" w:hAnsiTheme="minorHAnsi"/>
          <w:color w:val="808080" w:themeColor="background1" w:themeShade="80"/>
        </w:rPr>
        <w:t xml:space="preserve">4.7.6 </w:t>
      </w:r>
      <w:r w:rsidRPr="00EA2F26">
        <w:rPr>
          <w:rFonts w:asciiTheme="minorHAnsi" w:hAnsiTheme="minorHAnsi"/>
          <w:color w:val="808080" w:themeColor="background1" w:themeShade="80"/>
        </w:rPr>
        <w:tab/>
        <w:t>Asset Disposal Plan</w:t>
      </w:r>
      <w:bookmarkEnd w:id="58"/>
    </w:p>
    <w:p w:rsidR="00D02973" w:rsidRPr="00EA2F26" w:rsidRDefault="00D02973" w:rsidP="00D02973">
      <w:r w:rsidRPr="00EA2F26">
        <w:t>The strategy for the development of a recreation and open space asset disposal plan is to first identify those recreation and open spaces or parts thereof that are either:</w:t>
      </w:r>
    </w:p>
    <w:p w:rsidR="00D02973" w:rsidRPr="00EA2F26" w:rsidRDefault="00D02973" w:rsidP="00D02973">
      <w:pPr>
        <w:pStyle w:val="ListParagraph"/>
        <w:numPr>
          <w:ilvl w:val="0"/>
          <w:numId w:val="39"/>
        </w:numPr>
      </w:pPr>
      <w:r w:rsidRPr="00EA2F26">
        <w:t>Surplus to requirements;</w:t>
      </w:r>
    </w:p>
    <w:p w:rsidR="00D02973" w:rsidRPr="00EA2F26" w:rsidRDefault="00D02973" w:rsidP="00D02973">
      <w:pPr>
        <w:pStyle w:val="ListParagraph"/>
        <w:numPr>
          <w:ilvl w:val="0"/>
          <w:numId w:val="39"/>
        </w:numPr>
      </w:pPr>
      <w:r w:rsidRPr="00EA2F26">
        <w:lastRenderedPageBreak/>
        <w:t>Technologically obsolete;</w:t>
      </w:r>
    </w:p>
    <w:p w:rsidR="00D02973" w:rsidRPr="00EA2F26" w:rsidRDefault="00D02973" w:rsidP="00D02973">
      <w:pPr>
        <w:pStyle w:val="ListParagraph"/>
        <w:numPr>
          <w:ilvl w:val="0"/>
          <w:numId w:val="39"/>
        </w:numPr>
      </w:pPr>
      <w:r w:rsidRPr="00EA2F26">
        <w:t>No-longer meeting community needs; or</w:t>
      </w:r>
    </w:p>
    <w:p w:rsidR="00D02973" w:rsidRPr="00EA2F26" w:rsidRDefault="00D02973" w:rsidP="00D02973">
      <w:pPr>
        <w:pStyle w:val="ListParagraph"/>
        <w:numPr>
          <w:ilvl w:val="0"/>
          <w:numId w:val="39"/>
        </w:numPr>
      </w:pPr>
      <w:r w:rsidRPr="00EA2F26">
        <w:t>Have reached the end of their useful life and there is no demand for renewal or replacement.</w:t>
      </w:r>
    </w:p>
    <w:p w:rsidR="00D02973" w:rsidRPr="00EA2F26" w:rsidRDefault="00D02973" w:rsidP="00D02973">
      <w:pPr>
        <w:spacing w:before="120"/>
        <w:jc w:val="both"/>
      </w:pPr>
      <w:r w:rsidRPr="00EA2F26">
        <w:t>Where appropriate, such assets should also be considered for consolidation and rationalisation based on service needs and community benefit prior to being placed in the Disposal Plan.</w:t>
      </w:r>
    </w:p>
    <w:p w:rsidR="00D02973" w:rsidRPr="00EA2F26" w:rsidRDefault="00D02973" w:rsidP="00D02973">
      <w:pPr>
        <w:spacing w:before="120"/>
        <w:jc w:val="both"/>
      </w:pPr>
      <w:r w:rsidRPr="00EA2F26">
        <w:t xml:space="preserve">When disposal does occur, recognition needs to be made in the recurrent/operating budget of the reduction of associated operating or maintenance costs of the decommissioned assets, as well as any disposal costs. Costs associated with the sale, demolition or relocation of decommissioned assets and any associated works are to be included as part of the Disposal Plan.  Associated works could include any necessary site remediation or rehabilitation.  This is a risk management issue. Failure by </w:t>
      </w:r>
      <w:r>
        <w:t>Council</w:t>
      </w:r>
      <w:r w:rsidRPr="00EA2F26">
        <w:t xml:space="preserve"> to undertake relevant site remediation may result in future litigation.  An example of remediation work is on the site of old </w:t>
      </w:r>
      <w:r>
        <w:t>Council</w:t>
      </w:r>
      <w:r w:rsidRPr="00EA2F26">
        <w:t xml:space="preserve"> works depots where fuel and hazardous materials may have been stored, especially those stored in underground tanks.</w:t>
      </w:r>
    </w:p>
    <w:p w:rsidR="00D02973" w:rsidRPr="00EA2F26" w:rsidRDefault="00D02973" w:rsidP="00D02973">
      <w:r w:rsidRPr="00EA2F26">
        <w:t xml:space="preserve">Disposal of recreation and open spaces within Bayside City </w:t>
      </w:r>
      <w:r>
        <w:t>Council</w:t>
      </w:r>
      <w:r w:rsidRPr="00EA2F26">
        <w:t xml:space="preserve"> is very infrequent and no planning or policy has been developed. As </w:t>
      </w:r>
      <w:r>
        <w:t>Council</w:t>
      </w:r>
      <w:r w:rsidRPr="00EA2F26">
        <w:t xml:space="preserve"> progresses through the development of Strategic Service Management Plans for recreation and open space category it will be an opportunity to identify those assets that are underperforming in some way and make decisions accordingly.</w:t>
      </w:r>
    </w:p>
    <w:p w:rsidR="00D02973" w:rsidRPr="00DF2FAC" w:rsidRDefault="00D02973" w:rsidP="00D02973">
      <w:pPr>
        <w:pStyle w:val="Heading2"/>
        <w:spacing w:after="200"/>
        <w:rPr>
          <w:rFonts w:asciiTheme="minorHAnsi" w:hAnsiTheme="minorHAnsi"/>
          <w:color w:val="2E74B5" w:themeColor="accent1" w:themeShade="BF"/>
        </w:rPr>
      </w:pPr>
      <w:bookmarkStart w:id="59" w:name="_Toc448475211"/>
      <w:r w:rsidRPr="00DF2FAC">
        <w:rPr>
          <w:rFonts w:asciiTheme="minorHAnsi" w:hAnsiTheme="minorHAnsi"/>
          <w:color w:val="2E74B5" w:themeColor="accent1" w:themeShade="BF"/>
        </w:rPr>
        <w:t>4.8</w:t>
      </w:r>
      <w:r w:rsidRPr="00DF2FAC">
        <w:rPr>
          <w:rFonts w:asciiTheme="minorHAnsi" w:hAnsiTheme="minorHAnsi"/>
          <w:color w:val="2E74B5" w:themeColor="accent1" w:themeShade="BF"/>
        </w:rPr>
        <w:tab/>
        <w:t>Recreation and Open Space Ownership Obligations</w:t>
      </w:r>
      <w:bookmarkEnd w:id="59"/>
    </w:p>
    <w:p w:rsidR="00D02973" w:rsidRPr="00EA2F26" w:rsidRDefault="00D02973" w:rsidP="00D02973">
      <w:pPr>
        <w:pStyle w:val="Heading3"/>
        <w:spacing w:before="0" w:after="200"/>
        <w:rPr>
          <w:rFonts w:asciiTheme="minorHAnsi" w:hAnsiTheme="minorHAnsi"/>
          <w:color w:val="404040" w:themeColor="text1" w:themeTint="BF"/>
        </w:rPr>
      </w:pPr>
      <w:bookmarkStart w:id="60" w:name="_Toc448475212"/>
      <w:r w:rsidRPr="00EA2F26">
        <w:rPr>
          <w:rFonts w:asciiTheme="minorHAnsi" w:hAnsiTheme="minorHAnsi"/>
          <w:color w:val="404040" w:themeColor="text1" w:themeTint="BF"/>
        </w:rPr>
        <w:t xml:space="preserve">4.8.1 </w:t>
      </w:r>
      <w:r w:rsidRPr="00EA2F26">
        <w:rPr>
          <w:rFonts w:asciiTheme="minorHAnsi" w:hAnsiTheme="minorHAnsi"/>
          <w:color w:val="404040" w:themeColor="text1" w:themeTint="BF"/>
        </w:rPr>
        <w:tab/>
      </w:r>
      <w:r>
        <w:rPr>
          <w:rFonts w:asciiTheme="minorHAnsi" w:hAnsiTheme="minorHAnsi"/>
          <w:color w:val="404040" w:themeColor="text1" w:themeTint="BF"/>
        </w:rPr>
        <w:t>Council</w:t>
      </w:r>
      <w:r w:rsidRPr="00EA2F26">
        <w:rPr>
          <w:rFonts w:asciiTheme="minorHAnsi" w:hAnsiTheme="minorHAnsi"/>
          <w:color w:val="404040" w:themeColor="text1" w:themeTint="BF"/>
        </w:rPr>
        <w:t xml:space="preserve"> Owned Recreation and Open Space</w:t>
      </w:r>
      <w:bookmarkEnd w:id="60"/>
      <w:r w:rsidRPr="00EA2F26">
        <w:rPr>
          <w:rFonts w:asciiTheme="minorHAnsi" w:hAnsiTheme="minorHAnsi"/>
          <w:color w:val="404040" w:themeColor="text1" w:themeTint="BF"/>
        </w:rPr>
        <w:t xml:space="preserve"> </w:t>
      </w:r>
    </w:p>
    <w:p w:rsidR="00D02973" w:rsidRDefault="00D02973" w:rsidP="00D02973">
      <w:r>
        <w:t>Council is responsible for the ownership and upkeep of recreation and open space assets. These assets must be appropriately maintained and operated to ensure that they are available for the use of residents and visitors to the municipality. Responsibility for health and safety and damage to property reside with Council where a reasonable level of service has not been provided.</w:t>
      </w:r>
    </w:p>
    <w:p w:rsidR="00D02973" w:rsidRPr="00EA2F26" w:rsidRDefault="00D02973" w:rsidP="00D02973">
      <w:pPr>
        <w:pStyle w:val="Heading3"/>
        <w:spacing w:before="0" w:after="200"/>
        <w:rPr>
          <w:rFonts w:asciiTheme="minorHAnsi" w:hAnsiTheme="minorHAnsi"/>
          <w:color w:val="404040" w:themeColor="text1" w:themeTint="BF"/>
        </w:rPr>
      </w:pPr>
      <w:bookmarkStart w:id="61" w:name="_Toc448475213"/>
      <w:r w:rsidRPr="00EA2F26">
        <w:rPr>
          <w:rFonts w:asciiTheme="minorHAnsi" w:hAnsiTheme="minorHAnsi"/>
          <w:color w:val="404040" w:themeColor="text1" w:themeTint="BF"/>
        </w:rPr>
        <w:t xml:space="preserve">4.8.2 </w:t>
      </w:r>
      <w:r w:rsidRPr="00EA2F26">
        <w:rPr>
          <w:rFonts w:asciiTheme="minorHAnsi" w:hAnsiTheme="minorHAnsi"/>
          <w:color w:val="404040" w:themeColor="text1" w:themeTint="BF"/>
        </w:rPr>
        <w:tab/>
        <w:t xml:space="preserve">Government Recreation and Open Space Managed by </w:t>
      </w:r>
      <w:r>
        <w:rPr>
          <w:rFonts w:asciiTheme="minorHAnsi" w:hAnsiTheme="minorHAnsi"/>
          <w:color w:val="404040" w:themeColor="text1" w:themeTint="BF"/>
        </w:rPr>
        <w:t>Council</w:t>
      </w:r>
      <w:bookmarkEnd w:id="61"/>
      <w:r w:rsidRPr="00EA2F26">
        <w:rPr>
          <w:rFonts w:asciiTheme="minorHAnsi" w:hAnsiTheme="minorHAnsi"/>
          <w:color w:val="404040" w:themeColor="text1" w:themeTint="BF"/>
        </w:rPr>
        <w:t xml:space="preserve"> </w:t>
      </w:r>
    </w:p>
    <w:p w:rsidR="00D02973" w:rsidRPr="00EA2F26" w:rsidRDefault="00D02973" w:rsidP="00D02973">
      <w:r>
        <w:t>Council</w:t>
      </w:r>
      <w:r w:rsidRPr="00EA2F26">
        <w:t xml:space="preserve"> may occupy Crown land as a Committee of Management under the </w:t>
      </w:r>
      <w:r w:rsidRPr="00EA2F26">
        <w:rPr>
          <w:i/>
          <w:iCs/>
        </w:rPr>
        <w:t xml:space="preserve">Crown Land (Reserves) Act </w:t>
      </w:r>
      <w:r w:rsidRPr="00EA2F26">
        <w:t xml:space="preserve">1978. </w:t>
      </w:r>
      <w:r>
        <w:t>Council</w:t>
      </w:r>
      <w:r w:rsidRPr="00EA2F26">
        <w:t xml:space="preserve"> occupies not by virtue of any lease or licence but because it has Committee of Management status. </w:t>
      </w:r>
    </w:p>
    <w:p w:rsidR="00D02973" w:rsidRPr="00EA2F26" w:rsidRDefault="00D02973" w:rsidP="00D02973">
      <w:r w:rsidRPr="00EA2F26">
        <w:t xml:space="preserve">Although the precise relationship between the State Government and </w:t>
      </w:r>
      <w:r>
        <w:t>Council</w:t>
      </w:r>
      <w:r w:rsidRPr="00EA2F26">
        <w:t xml:space="preserve"> will turn on the Committee of Management appointment and any arrangements which complement it, practically </w:t>
      </w:r>
      <w:r>
        <w:t>Council comes to resemble both o</w:t>
      </w:r>
      <w:r w:rsidRPr="00EA2F26">
        <w:t xml:space="preserve">wner and occupier. That is, although </w:t>
      </w:r>
      <w:r>
        <w:t>Council</w:t>
      </w:r>
      <w:r w:rsidRPr="00EA2F26">
        <w:t xml:space="preserve"> does not own the land</w:t>
      </w:r>
      <w:r>
        <w:t>,</w:t>
      </w:r>
      <w:r w:rsidRPr="00EA2F26">
        <w:t xml:space="preserve"> it assumes obligations and incurs risks not dissimilar to those referable to an owner-occupier. </w:t>
      </w:r>
    </w:p>
    <w:p w:rsidR="00D02973" w:rsidRPr="00EA2F26" w:rsidRDefault="00D02973" w:rsidP="00D02973">
      <w:r w:rsidRPr="00EA2F26">
        <w:t xml:space="preserve">Ultimately, </w:t>
      </w:r>
      <w:r>
        <w:t>Council</w:t>
      </w:r>
      <w:r w:rsidRPr="00EA2F26">
        <w:t xml:space="preserve"> may be able to gain protection from the State Government through arrangements worked out with the Department of Environment</w:t>
      </w:r>
      <w:r>
        <w:t xml:space="preserve"> Land Water Planning</w:t>
      </w:r>
      <w:r w:rsidRPr="00EA2F26">
        <w:t xml:space="preserve"> (which administers the </w:t>
      </w:r>
      <w:r w:rsidRPr="00EA2F26">
        <w:rPr>
          <w:i/>
          <w:iCs/>
        </w:rPr>
        <w:t>Crown Land (Reserves) Act</w:t>
      </w:r>
      <w:r w:rsidRPr="00EA2F26">
        <w:t xml:space="preserve">). </w:t>
      </w:r>
    </w:p>
    <w:p w:rsidR="00D02973" w:rsidRPr="00EA2F26" w:rsidRDefault="00D02973" w:rsidP="00D02973">
      <w:pPr>
        <w:pStyle w:val="Heading3"/>
        <w:spacing w:before="0" w:after="200"/>
        <w:rPr>
          <w:rFonts w:asciiTheme="minorHAnsi" w:hAnsiTheme="minorHAnsi"/>
          <w:color w:val="404040" w:themeColor="text1" w:themeTint="BF"/>
        </w:rPr>
      </w:pPr>
      <w:bookmarkStart w:id="62" w:name="_Toc448475214"/>
      <w:r w:rsidRPr="00EA2F26">
        <w:rPr>
          <w:rFonts w:asciiTheme="minorHAnsi" w:hAnsiTheme="minorHAnsi"/>
          <w:color w:val="404040" w:themeColor="text1" w:themeTint="BF"/>
        </w:rPr>
        <w:lastRenderedPageBreak/>
        <w:t>4.8.3</w:t>
      </w:r>
      <w:r w:rsidRPr="00EA2F26">
        <w:rPr>
          <w:rFonts w:asciiTheme="minorHAnsi" w:hAnsiTheme="minorHAnsi"/>
          <w:color w:val="404040" w:themeColor="text1" w:themeTint="BF"/>
        </w:rPr>
        <w:tab/>
        <w:t>Commercially leased or licensed for use by a Community Group</w:t>
      </w:r>
      <w:bookmarkEnd w:id="62"/>
      <w:r w:rsidRPr="00EA2F26">
        <w:rPr>
          <w:rFonts w:asciiTheme="minorHAnsi" w:hAnsiTheme="minorHAnsi"/>
          <w:color w:val="404040" w:themeColor="text1" w:themeTint="BF"/>
        </w:rPr>
        <w:t xml:space="preserve"> </w:t>
      </w:r>
    </w:p>
    <w:p w:rsidR="00D02973" w:rsidRPr="00EA2F26" w:rsidRDefault="00D02973" w:rsidP="00D02973">
      <w:r>
        <w:t>In this scenario, o</w:t>
      </w:r>
      <w:r w:rsidRPr="00EA2F26">
        <w:t xml:space="preserve">wnership rests with </w:t>
      </w:r>
      <w:r>
        <w:t>Council</w:t>
      </w:r>
      <w:r w:rsidRPr="00EA2F26">
        <w:t xml:space="preserve"> and occupation rests with another (e.g. golf course lessee or sporting club). </w:t>
      </w:r>
    </w:p>
    <w:p w:rsidR="00D02973" w:rsidRPr="00EA2F26" w:rsidRDefault="00D02973" w:rsidP="00D02973">
      <w:r w:rsidRPr="00EA2F26">
        <w:t xml:space="preserve">As owner of the recreation and open space, </w:t>
      </w:r>
      <w:r>
        <w:t>Council</w:t>
      </w:r>
      <w:r w:rsidRPr="00EA2F26">
        <w:t xml:space="preserve"> will be subject to a number of obligations even though they are not directly involved in the day to </w:t>
      </w:r>
      <w:r>
        <w:t>d</w:t>
      </w:r>
      <w:r w:rsidRPr="00EA2F26">
        <w:t xml:space="preserve">ay activities at the site. </w:t>
      </w:r>
    </w:p>
    <w:p w:rsidR="00D02973" w:rsidRPr="00EA2F26" w:rsidRDefault="00D02973" w:rsidP="00D02973">
      <w:r w:rsidRPr="00EA2F26">
        <w:t xml:space="preserve">In cases where </w:t>
      </w:r>
      <w:r>
        <w:t>Council</w:t>
      </w:r>
      <w:r w:rsidRPr="00EA2F26">
        <w:t xml:space="preserve"> has leased the land to another, it cannot wholly escape liability in ne</w:t>
      </w:r>
      <w:r>
        <w:t xml:space="preserve">gligence to an injured entrant. </w:t>
      </w:r>
      <w:r w:rsidRPr="00EA2F26">
        <w:t xml:space="preserve">This means that not only the occupier but </w:t>
      </w:r>
      <w:r>
        <w:t>Council</w:t>
      </w:r>
      <w:r w:rsidRPr="00EA2F26">
        <w:t xml:space="preserve"> (in its capacity as lessor or landlord) can be directly liable to an injured entrant. In other words, the liability can, in this lease context, be a shared one. </w:t>
      </w:r>
    </w:p>
    <w:p w:rsidR="00D02973" w:rsidRPr="00EA2F26" w:rsidRDefault="00D02973" w:rsidP="00D02973">
      <w:r>
        <w:t>Council</w:t>
      </w:r>
      <w:r w:rsidRPr="00EA2F26">
        <w:t xml:space="preserve"> can protect itself by: </w:t>
      </w:r>
    </w:p>
    <w:p w:rsidR="00D02973" w:rsidRPr="00EA2F26" w:rsidRDefault="00D02973" w:rsidP="00D02973">
      <w:pPr>
        <w:pStyle w:val="ListParagraph"/>
        <w:numPr>
          <w:ilvl w:val="0"/>
          <w:numId w:val="17"/>
        </w:numPr>
      </w:pPr>
      <w:r w:rsidRPr="00EA2F26">
        <w:t xml:space="preserve"> insuring against any liability by effecting and maintaining a Public Liability Policy of Insurance; </w:t>
      </w:r>
    </w:p>
    <w:p w:rsidR="00D02973" w:rsidRPr="00EA2F26" w:rsidRDefault="00D02973" w:rsidP="00D02973">
      <w:pPr>
        <w:pStyle w:val="ListParagraph"/>
        <w:numPr>
          <w:ilvl w:val="0"/>
          <w:numId w:val="17"/>
        </w:numPr>
      </w:pPr>
      <w:r w:rsidRPr="00EA2F26">
        <w:t xml:space="preserve"> insisting upon the lessee or tenant holding a current Public Liability Policy of Insurance; and extracting an indemnity from the lessee or tenant, meaning that if </w:t>
      </w:r>
      <w:r>
        <w:t>Council</w:t>
      </w:r>
      <w:r w:rsidRPr="00EA2F26">
        <w:t xml:space="preserve"> becomes legally liable to the injured entrant then the lessee or tenant must meet any damages paid and costs incurred by </w:t>
      </w:r>
      <w:r>
        <w:t>Council</w:t>
      </w:r>
      <w:r w:rsidRPr="00EA2F26">
        <w:t xml:space="preserve">. </w:t>
      </w:r>
    </w:p>
    <w:p w:rsidR="00D02973" w:rsidRPr="00EA2F26" w:rsidRDefault="00D02973" w:rsidP="00D02973">
      <w:pPr>
        <w:pStyle w:val="Heading3"/>
        <w:spacing w:before="0" w:after="200"/>
        <w:rPr>
          <w:rFonts w:asciiTheme="minorHAnsi" w:hAnsiTheme="minorHAnsi"/>
          <w:color w:val="404040" w:themeColor="text1" w:themeTint="BF"/>
        </w:rPr>
      </w:pPr>
      <w:bookmarkStart w:id="63" w:name="_Toc448475215"/>
      <w:r w:rsidRPr="00EA2F26">
        <w:rPr>
          <w:rFonts w:asciiTheme="minorHAnsi" w:hAnsiTheme="minorHAnsi"/>
          <w:color w:val="404040" w:themeColor="text1" w:themeTint="BF"/>
        </w:rPr>
        <w:t xml:space="preserve">4.8.4 </w:t>
      </w:r>
      <w:r w:rsidRPr="00EA2F26">
        <w:rPr>
          <w:rFonts w:asciiTheme="minorHAnsi" w:hAnsiTheme="minorHAnsi"/>
          <w:color w:val="404040" w:themeColor="text1" w:themeTint="BF"/>
        </w:rPr>
        <w:tab/>
        <w:t>Community Usage Agreements</w:t>
      </w:r>
      <w:bookmarkEnd w:id="63"/>
      <w:r w:rsidRPr="00EA2F26">
        <w:rPr>
          <w:rFonts w:asciiTheme="minorHAnsi" w:hAnsiTheme="minorHAnsi"/>
          <w:color w:val="404040" w:themeColor="text1" w:themeTint="BF"/>
        </w:rPr>
        <w:t xml:space="preserve"> </w:t>
      </w:r>
    </w:p>
    <w:p w:rsidR="00D02973" w:rsidRPr="00EA2F26" w:rsidRDefault="00D02973" w:rsidP="00D02973">
      <w:r w:rsidRPr="00EA2F26">
        <w:t xml:space="preserve">Formalised facility usage agreements/leases/licences need to be </w:t>
      </w:r>
      <w:r>
        <w:t>developed and executed between Council</w:t>
      </w:r>
      <w:r w:rsidRPr="00EA2F26">
        <w:t xml:space="preserve"> and community groups/facility users and/or Committees of Management for the ongoing use of specific </w:t>
      </w:r>
      <w:r>
        <w:t>Council</w:t>
      </w:r>
      <w:r w:rsidRPr="00EA2F26">
        <w:t xml:space="preserve"> recreation and open spaces &amp; facilities. This will include Memoranda of Understanding between </w:t>
      </w:r>
      <w:r>
        <w:t>Council</w:t>
      </w:r>
      <w:r w:rsidRPr="00EA2F26">
        <w:t xml:space="preserve"> and the Committees of Management. The arrangements in these agreements will cover the actual usage, maintenance and housekeeping responsibilities.</w:t>
      </w:r>
    </w:p>
    <w:p w:rsidR="00D02973" w:rsidRPr="00EA2F26" w:rsidRDefault="00D02973" w:rsidP="00D02973"/>
    <w:p w:rsidR="00D02973" w:rsidRPr="00DF2FAC" w:rsidRDefault="00D02973" w:rsidP="00D02973">
      <w:pPr>
        <w:pStyle w:val="Heading1"/>
        <w:spacing w:before="0" w:after="200"/>
        <w:rPr>
          <w:rFonts w:asciiTheme="minorHAnsi" w:hAnsiTheme="minorHAnsi"/>
        </w:rPr>
      </w:pPr>
      <w:bookmarkStart w:id="64" w:name="_Toc448475216"/>
      <w:r w:rsidRPr="00DF2FAC">
        <w:rPr>
          <w:rFonts w:asciiTheme="minorHAnsi" w:hAnsiTheme="minorHAnsi"/>
        </w:rPr>
        <w:t xml:space="preserve">5.0 </w:t>
      </w:r>
      <w:r w:rsidRPr="00DF2FAC">
        <w:rPr>
          <w:rFonts w:asciiTheme="minorHAnsi" w:hAnsiTheme="minorHAnsi"/>
        </w:rPr>
        <w:tab/>
        <w:t>Strategic Financial Management</w:t>
      </w:r>
      <w:bookmarkEnd w:id="43"/>
      <w:bookmarkEnd w:id="64"/>
    </w:p>
    <w:p w:rsidR="00D02973" w:rsidRPr="00DF2FAC" w:rsidRDefault="00D02973" w:rsidP="00D02973">
      <w:pPr>
        <w:pStyle w:val="Heading2"/>
        <w:spacing w:after="200"/>
        <w:rPr>
          <w:rFonts w:asciiTheme="minorHAnsi" w:hAnsiTheme="minorHAnsi"/>
          <w:color w:val="2E74B5" w:themeColor="accent1" w:themeShade="BF"/>
        </w:rPr>
      </w:pPr>
      <w:bookmarkStart w:id="65" w:name="_Toc448475217"/>
      <w:bookmarkStart w:id="66" w:name="_Toc274394341"/>
      <w:r w:rsidRPr="00DF2FAC">
        <w:rPr>
          <w:rFonts w:asciiTheme="minorHAnsi" w:hAnsiTheme="minorHAnsi"/>
          <w:color w:val="2E74B5" w:themeColor="accent1" w:themeShade="BF"/>
        </w:rPr>
        <w:t>5.1</w:t>
      </w:r>
      <w:r w:rsidRPr="00DF2FAC">
        <w:rPr>
          <w:rFonts w:asciiTheme="minorHAnsi" w:hAnsiTheme="minorHAnsi"/>
          <w:color w:val="2E74B5" w:themeColor="accent1" w:themeShade="BF"/>
        </w:rPr>
        <w:tab/>
        <w:t>Current Financial Position</w:t>
      </w:r>
      <w:bookmarkEnd w:id="65"/>
    </w:p>
    <w:p w:rsidR="00AA1CC4" w:rsidRDefault="00D02973" w:rsidP="00D02973">
      <w:r>
        <w:t>Council</w:t>
      </w:r>
      <w:r w:rsidRPr="00EA2F26">
        <w:t>’s curr</w:t>
      </w:r>
      <w:r>
        <w:t>ent expenditure for 2015/16 on recreation and open space a</w:t>
      </w:r>
      <w:r w:rsidRPr="00EA2F26">
        <w:t>ssets totals $</w:t>
      </w:r>
      <w:r>
        <w:t>19.3 million</w:t>
      </w:r>
      <w:r w:rsidRPr="00EA2F26">
        <w:t xml:space="preserve">, representing approximately 30% of </w:t>
      </w:r>
      <w:r>
        <w:t>Council’s</w:t>
      </w:r>
      <w:r w:rsidRPr="00EA2F26">
        <w:t xml:space="preserve"> total budget</w:t>
      </w:r>
      <w:r w:rsidRPr="00EA2F26">
        <w:rPr>
          <w:rStyle w:val="FootnoteReference"/>
        </w:rPr>
        <w:footnoteReference w:id="11"/>
      </w:r>
      <w:r w:rsidRPr="00EA2F26">
        <w:t xml:space="preserve">. The breakdown between capital works and maintenance is presented in Table </w:t>
      </w:r>
      <w:r>
        <w:t>11</w:t>
      </w:r>
      <w:r w:rsidRPr="00EA2F26">
        <w:t xml:space="preserve">. </w:t>
      </w:r>
    </w:p>
    <w:p w:rsidR="00AA1CC4" w:rsidRDefault="00AA1CC4">
      <w:pPr>
        <w:spacing w:after="160" w:line="259" w:lineRule="auto"/>
      </w:pPr>
      <w:r>
        <w:br w:type="page"/>
      </w:r>
    </w:p>
    <w:p w:rsidR="00D02973" w:rsidRPr="00EA2F26" w:rsidRDefault="00D02973" w:rsidP="00D02973"/>
    <w:p w:rsidR="00D02973" w:rsidRPr="00EA2F26" w:rsidRDefault="00D02973" w:rsidP="00D02973">
      <w:pPr>
        <w:pStyle w:val="Para2"/>
        <w:spacing w:after="200" w:line="276" w:lineRule="auto"/>
        <w:ind w:left="0"/>
        <w:jc w:val="both"/>
        <w:rPr>
          <w:rFonts w:asciiTheme="minorHAnsi" w:eastAsiaTheme="minorHAnsi" w:hAnsiTheme="minorHAnsi" w:cstheme="minorBidi"/>
          <w:b/>
          <w:color w:val="auto"/>
          <w:sz w:val="22"/>
          <w:szCs w:val="22"/>
          <w:lang w:val="en-AU" w:eastAsia="en-US"/>
        </w:rPr>
      </w:pPr>
      <w:r w:rsidRPr="00EA2F26">
        <w:rPr>
          <w:rFonts w:asciiTheme="minorHAnsi" w:eastAsiaTheme="minorHAnsi" w:hAnsiTheme="minorHAnsi" w:cstheme="minorBidi"/>
          <w:b/>
          <w:color w:val="auto"/>
          <w:sz w:val="22"/>
          <w:szCs w:val="22"/>
          <w:lang w:val="en-AU" w:eastAsia="en-US"/>
        </w:rPr>
        <w:t>Table</w:t>
      </w:r>
      <w:r>
        <w:rPr>
          <w:rFonts w:asciiTheme="minorHAnsi" w:eastAsiaTheme="minorHAnsi" w:hAnsiTheme="minorHAnsi" w:cstheme="minorBidi"/>
          <w:b/>
          <w:color w:val="auto"/>
          <w:sz w:val="22"/>
          <w:szCs w:val="22"/>
          <w:lang w:val="en-AU" w:eastAsia="en-US"/>
        </w:rPr>
        <w:t xml:space="preserve"> 11</w:t>
      </w:r>
      <w:r w:rsidRPr="00EA2F26">
        <w:rPr>
          <w:rFonts w:asciiTheme="minorHAnsi" w:eastAsiaTheme="minorHAnsi" w:hAnsiTheme="minorHAnsi" w:cstheme="minorBidi"/>
          <w:b/>
          <w:color w:val="auto"/>
          <w:sz w:val="22"/>
          <w:szCs w:val="22"/>
          <w:lang w:val="en-AU" w:eastAsia="en-US"/>
        </w:rPr>
        <w:t>: Recreation and Open Space Service Budget Allocations 2015/16</w:t>
      </w:r>
    </w:p>
    <w:tbl>
      <w:tblPr>
        <w:tblStyle w:val="TableGrid"/>
        <w:tblW w:w="0" w:type="auto"/>
        <w:tblInd w:w="108" w:type="dxa"/>
        <w:tblLook w:val="04A0" w:firstRow="1" w:lastRow="0" w:firstColumn="1" w:lastColumn="0" w:noHBand="0" w:noVBand="1"/>
      </w:tblPr>
      <w:tblGrid>
        <w:gridCol w:w="4535"/>
        <w:gridCol w:w="2553"/>
      </w:tblGrid>
      <w:tr w:rsidR="00D02973" w:rsidRPr="00EA2F26" w:rsidTr="00DF2FAC">
        <w:tc>
          <w:tcPr>
            <w:tcW w:w="4535" w:type="dxa"/>
            <w:shd w:val="clear" w:color="auto" w:fill="000000" w:themeFill="text1"/>
          </w:tcPr>
          <w:p w:rsidR="00D02973" w:rsidRPr="00EA2F26" w:rsidRDefault="00D02973" w:rsidP="00DF2FAC">
            <w:pPr>
              <w:pStyle w:val="Para2"/>
              <w:spacing w:after="200" w:line="276" w:lineRule="auto"/>
              <w:ind w:left="0"/>
              <w:jc w:val="both"/>
              <w:rPr>
                <w:rFonts w:asciiTheme="minorHAnsi" w:eastAsiaTheme="minorHAnsi" w:hAnsiTheme="minorHAnsi" w:cstheme="minorBidi"/>
                <w:color w:val="FFFFFF" w:themeColor="background1"/>
                <w:sz w:val="22"/>
                <w:szCs w:val="22"/>
                <w:lang w:val="en-AU" w:eastAsia="en-US"/>
              </w:rPr>
            </w:pPr>
            <w:r w:rsidRPr="00EA2F26">
              <w:rPr>
                <w:rFonts w:asciiTheme="minorHAnsi" w:eastAsiaTheme="minorHAnsi" w:hAnsiTheme="minorHAnsi" w:cstheme="minorBidi"/>
                <w:color w:val="FFFFFF" w:themeColor="background1"/>
                <w:sz w:val="22"/>
                <w:szCs w:val="22"/>
                <w:lang w:val="en-AU" w:eastAsia="en-US"/>
              </w:rPr>
              <w:t>Budget Component</w:t>
            </w:r>
          </w:p>
        </w:tc>
        <w:tc>
          <w:tcPr>
            <w:tcW w:w="2553" w:type="dxa"/>
            <w:shd w:val="clear" w:color="auto" w:fill="000000" w:themeFill="text1"/>
          </w:tcPr>
          <w:p w:rsidR="00D02973" w:rsidRPr="00EA2F26" w:rsidRDefault="00D02973" w:rsidP="00DF2FAC">
            <w:pPr>
              <w:pStyle w:val="Para2"/>
              <w:spacing w:after="200" w:line="276" w:lineRule="auto"/>
              <w:ind w:left="0"/>
              <w:jc w:val="both"/>
              <w:rPr>
                <w:rFonts w:asciiTheme="minorHAnsi" w:eastAsiaTheme="minorHAnsi" w:hAnsiTheme="minorHAnsi" w:cstheme="minorBidi"/>
                <w:color w:val="FFFFFF" w:themeColor="background1"/>
                <w:sz w:val="22"/>
                <w:szCs w:val="22"/>
                <w:lang w:val="en-AU" w:eastAsia="en-US"/>
              </w:rPr>
            </w:pPr>
            <w:r w:rsidRPr="00EA2F26">
              <w:rPr>
                <w:rFonts w:asciiTheme="minorHAnsi" w:eastAsiaTheme="minorHAnsi" w:hAnsiTheme="minorHAnsi" w:cstheme="minorBidi"/>
                <w:color w:val="FFFFFF" w:themeColor="background1"/>
                <w:sz w:val="22"/>
                <w:szCs w:val="22"/>
                <w:lang w:val="en-AU" w:eastAsia="en-US"/>
              </w:rPr>
              <w:t>2015/16 Allocation</w:t>
            </w:r>
          </w:p>
        </w:tc>
      </w:tr>
      <w:tr w:rsidR="00D02973" w:rsidRPr="00EA2F26" w:rsidTr="00DF2FAC">
        <w:tc>
          <w:tcPr>
            <w:tcW w:w="4535" w:type="dxa"/>
          </w:tcPr>
          <w:p w:rsidR="00D02973" w:rsidRPr="00EA2F26" w:rsidRDefault="00D02973" w:rsidP="00DF2FAC">
            <w:pPr>
              <w:pStyle w:val="Para2"/>
              <w:spacing w:after="200" w:line="276" w:lineRule="auto"/>
              <w:ind w:left="0"/>
              <w:jc w:val="both"/>
              <w:rPr>
                <w:rFonts w:asciiTheme="minorHAnsi" w:eastAsiaTheme="minorHAnsi" w:hAnsiTheme="minorHAnsi" w:cstheme="minorBidi"/>
                <w:color w:val="auto"/>
                <w:sz w:val="22"/>
                <w:szCs w:val="22"/>
                <w:lang w:val="en-AU" w:eastAsia="en-US"/>
              </w:rPr>
            </w:pPr>
            <w:r w:rsidRPr="00EA2F26">
              <w:rPr>
                <w:rFonts w:asciiTheme="minorHAnsi" w:eastAsiaTheme="minorHAnsi" w:hAnsiTheme="minorHAnsi" w:cstheme="minorBidi"/>
                <w:color w:val="auto"/>
                <w:sz w:val="22"/>
                <w:szCs w:val="22"/>
                <w:lang w:val="en-AU" w:eastAsia="en-US"/>
              </w:rPr>
              <w:t>Capital (New, Renewal, Upgrade)</w:t>
            </w:r>
          </w:p>
        </w:tc>
        <w:tc>
          <w:tcPr>
            <w:tcW w:w="2553" w:type="dxa"/>
          </w:tcPr>
          <w:p w:rsidR="00D02973" w:rsidRPr="00EA2F26" w:rsidRDefault="00D02973" w:rsidP="00DF2FAC">
            <w:pPr>
              <w:pStyle w:val="Para2"/>
              <w:spacing w:after="200" w:line="276" w:lineRule="auto"/>
              <w:ind w:left="0"/>
              <w:jc w:val="both"/>
              <w:rPr>
                <w:rFonts w:asciiTheme="minorHAnsi" w:eastAsiaTheme="minorHAnsi" w:hAnsiTheme="minorHAnsi" w:cstheme="minorBidi"/>
                <w:color w:val="auto"/>
                <w:sz w:val="22"/>
                <w:szCs w:val="22"/>
                <w:lang w:val="en-AU" w:eastAsia="en-US"/>
              </w:rPr>
            </w:pPr>
            <w:r w:rsidRPr="00EA2F26">
              <w:rPr>
                <w:rFonts w:asciiTheme="minorHAnsi" w:eastAsiaTheme="minorHAnsi" w:hAnsiTheme="minorHAnsi" w:cstheme="minorBidi"/>
                <w:color w:val="auto"/>
                <w:sz w:val="22"/>
                <w:szCs w:val="22"/>
                <w:lang w:val="en-AU" w:eastAsia="en-US"/>
              </w:rPr>
              <w:t>$</w:t>
            </w:r>
            <w:r>
              <w:rPr>
                <w:rFonts w:asciiTheme="minorHAnsi" w:eastAsiaTheme="minorHAnsi" w:hAnsiTheme="minorHAnsi" w:cstheme="minorBidi"/>
                <w:color w:val="auto"/>
                <w:sz w:val="22"/>
                <w:szCs w:val="22"/>
                <w:lang w:val="en-AU" w:eastAsia="en-US"/>
              </w:rPr>
              <w:t>8,794,000</w:t>
            </w:r>
          </w:p>
        </w:tc>
      </w:tr>
      <w:tr w:rsidR="00D02973" w:rsidRPr="00EA2F26" w:rsidTr="00DF2FAC">
        <w:tc>
          <w:tcPr>
            <w:tcW w:w="4535" w:type="dxa"/>
          </w:tcPr>
          <w:p w:rsidR="00D02973" w:rsidRPr="00EA2F26" w:rsidRDefault="00D02973" w:rsidP="00DF2FAC">
            <w:pPr>
              <w:pStyle w:val="Para2"/>
              <w:spacing w:after="200" w:line="276" w:lineRule="auto"/>
              <w:ind w:left="0"/>
              <w:jc w:val="both"/>
              <w:rPr>
                <w:rFonts w:asciiTheme="minorHAnsi" w:eastAsiaTheme="minorHAnsi" w:hAnsiTheme="minorHAnsi" w:cstheme="minorBidi"/>
                <w:color w:val="auto"/>
                <w:sz w:val="22"/>
                <w:szCs w:val="22"/>
                <w:lang w:val="en-AU" w:eastAsia="en-US"/>
              </w:rPr>
            </w:pPr>
            <w:r w:rsidRPr="00EA2F26">
              <w:rPr>
                <w:rFonts w:asciiTheme="minorHAnsi" w:eastAsiaTheme="minorHAnsi" w:hAnsiTheme="minorHAnsi" w:cstheme="minorBidi"/>
                <w:color w:val="auto"/>
                <w:sz w:val="22"/>
                <w:szCs w:val="22"/>
                <w:lang w:val="en-AU" w:eastAsia="en-US"/>
              </w:rPr>
              <w:t>Operations and Maintenance</w:t>
            </w:r>
          </w:p>
        </w:tc>
        <w:tc>
          <w:tcPr>
            <w:tcW w:w="2553" w:type="dxa"/>
          </w:tcPr>
          <w:p w:rsidR="00D02973" w:rsidRPr="00EA2F26" w:rsidRDefault="00D02973" w:rsidP="00DF2FAC">
            <w:pPr>
              <w:pStyle w:val="Para2"/>
              <w:spacing w:after="200" w:line="276" w:lineRule="auto"/>
              <w:ind w:left="0"/>
              <w:jc w:val="both"/>
              <w:rPr>
                <w:rFonts w:asciiTheme="minorHAnsi" w:eastAsiaTheme="minorHAnsi" w:hAnsiTheme="minorHAnsi" w:cstheme="minorBidi"/>
                <w:color w:val="auto"/>
                <w:sz w:val="22"/>
                <w:szCs w:val="22"/>
                <w:lang w:val="en-AU" w:eastAsia="en-US"/>
              </w:rPr>
            </w:pPr>
            <w:r w:rsidRPr="00EA2F26">
              <w:rPr>
                <w:rFonts w:asciiTheme="minorHAnsi" w:eastAsiaTheme="minorHAnsi" w:hAnsiTheme="minorHAnsi" w:cstheme="minorBidi"/>
                <w:color w:val="auto"/>
                <w:sz w:val="22"/>
                <w:szCs w:val="22"/>
                <w:lang w:val="en-AU" w:eastAsia="en-US"/>
              </w:rPr>
              <w:t>$10,543,</w:t>
            </w:r>
            <w:r>
              <w:rPr>
                <w:rFonts w:asciiTheme="minorHAnsi" w:eastAsiaTheme="minorHAnsi" w:hAnsiTheme="minorHAnsi" w:cstheme="minorBidi"/>
                <w:color w:val="auto"/>
                <w:sz w:val="22"/>
                <w:szCs w:val="22"/>
                <w:lang w:val="en-AU" w:eastAsia="en-US"/>
              </w:rPr>
              <w:t>000</w:t>
            </w:r>
          </w:p>
        </w:tc>
      </w:tr>
      <w:tr w:rsidR="00D02973" w:rsidRPr="00EA2F26" w:rsidTr="00DF2FAC">
        <w:tc>
          <w:tcPr>
            <w:tcW w:w="4535" w:type="dxa"/>
            <w:shd w:val="clear" w:color="auto" w:fill="000000" w:themeFill="text1"/>
          </w:tcPr>
          <w:p w:rsidR="00D02973" w:rsidRPr="00EA2F26" w:rsidRDefault="00D02973" w:rsidP="00DF2FAC">
            <w:pPr>
              <w:pStyle w:val="Para2"/>
              <w:spacing w:after="200" w:line="276" w:lineRule="auto"/>
              <w:ind w:left="0"/>
              <w:jc w:val="both"/>
              <w:rPr>
                <w:rFonts w:asciiTheme="minorHAnsi" w:eastAsiaTheme="minorHAnsi" w:hAnsiTheme="minorHAnsi" w:cstheme="minorBidi"/>
                <w:b/>
                <w:color w:val="FFFFFF" w:themeColor="background1"/>
                <w:sz w:val="22"/>
                <w:szCs w:val="22"/>
                <w:lang w:val="en-AU" w:eastAsia="en-US"/>
              </w:rPr>
            </w:pPr>
            <w:r w:rsidRPr="00EA2F26">
              <w:rPr>
                <w:rFonts w:asciiTheme="minorHAnsi" w:eastAsiaTheme="minorHAnsi" w:hAnsiTheme="minorHAnsi" w:cstheme="minorBidi"/>
                <w:b/>
                <w:color w:val="FFFFFF" w:themeColor="background1"/>
                <w:sz w:val="22"/>
                <w:szCs w:val="22"/>
                <w:lang w:val="en-AU" w:eastAsia="en-US"/>
              </w:rPr>
              <w:t>TOTAL</w:t>
            </w:r>
          </w:p>
        </w:tc>
        <w:tc>
          <w:tcPr>
            <w:tcW w:w="2553" w:type="dxa"/>
            <w:shd w:val="clear" w:color="auto" w:fill="000000" w:themeFill="text1"/>
          </w:tcPr>
          <w:p w:rsidR="00D02973" w:rsidRPr="00EA2F26" w:rsidRDefault="00D02973" w:rsidP="00DF2FAC">
            <w:pPr>
              <w:pStyle w:val="Para2"/>
              <w:spacing w:after="200" w:line="276" w:lineRule="auto"/>
              <w:ind w:left="0"/>
              <w:jc w:val="both"/>
              <w:rPr>
                <w:rFonts w:asciiTheme="minorHAnsi" w:eastAsiaTheme="minorHAnsi" w:hAnsiTheme="minorHAnsi" w:cstheme="minorBidi"/>
                <w:b/>
                <w:color w:val="FFFFFF" w:themeColor="background1"/>
                <w:sz w:val="22"/>
                <w:szCs w:val="22"/>
                <w:lang w:val="en-AU" w:eastAsia="en-US"/>
              </w:rPr>
            </w:pPr>
            <w:r>
              <w:rPr>
                <w:rFonts w:asciiTheme="minorHAnsi" w:eastAsiaTheme="minorHAnsi" w:hAnsiTheme="minorHAnsi" w:cstheme="minorBidi"/>
                <w:b/>
                <w:color w:val="FFFFFF" w:themeColor="background1"/>
                <w:sz w:val="22"/>
                <w:szCs w:val="22"/>
                <w:lang w:val="en-AU" w:eastAsia="en-US"/>
              </w:rPr>
              <w:t>$19,337,000</w:t>
            </w:r>
          </w:p>
        </w:tc>
      </w:tr>
    </w:tbl>
    <w:p w:rsidR="00D02973" w:rsidRPr="00EA2F26" w:rsidRDefault="00D02973" w:rsidP="00D02973">
      <w:pPr>
        <w:pStyle w:val="Heading3"/>
        <w:spacing w:after="200"/>
        <w:rPr>
          <w:rFonts w:asciiTheme="minorHAnsi" w:hAnsiTheme="minorHAnsi"/>
          <w:color w:val="808080" w:themeColor="background1" w:themeShade="80"/>
        </w:rPr>
      </w:pPr>
      <w:bookmarkStart w:id="67" w:name="_Toc448475218"/>
      <w:r w:rsidRPr="00EA2F26">
        <w:rPr>
          <w:rFonts w:asciiTheme="minorHAnsi" w:hAnsiTheme="minorHAnsi"/>
          <w:color w:val="808080" w:themeColor="background1" w:themeShade="80"/>
        </w:rPr>
        <w:t>5.1.1</w:t>
      </w:r>
      <w:r w:rsidRPr="00EA2F26">
        <w:rPr>
          <w:rFonts w:asciiTheme="minorHAnsi" w:hAnsiTheme="minorHAnsi"/>
          <w:color w:val="808080" w:themeColor="background1" w:themeShade="80"/>
        </w:rPr>
        <w:tab/>
        <w:t>Maintenance Expenditure</w:t>
      </w:r>
      <w:bookmarkEnd w:id="67"/>
    </w:p>
    <w:p w:rsidR="00D02973" w:rsidRPr="00EA2F26" w:rsidRDefault="00D02973" w:rsidP="00D02973">
      <w:r w:rsidRPr="00EA2F26">
        <w:t xml:space="preserve">Maintenance expenditure refers to all costs incurred to ensure that asset remains operational, such as repairs to playground equipment. Maintenance does not include actions which affect the remaining useful life of the asset (as this is defined as renewal). </w:t>
      </w:r>
    </w:p>
    <w:p w:rsidR="00D02973" w:rsidRPr="00EA2F26" w:rsidRDefault="00D02973" w:rsidP="00D02973">
      <w:r w:rsidRPr="00EA2F26">
        <w:t xml:space="preserve">Approximately 63% of </w:t>
      </w:r>
      <w:r>
        <w:t>Council</w:t>
      </w:r>
      <w:r w:rsidRPr="00EA2F26">
        <w:t xml:space="preserve"> </w:t>
      </w:r>
      <w:r>
        <w:t xml:space="preserve">annual </w:t>
      </w:r>
      <w:r w:rsidRPr="00EA2F26">
        <w:t>expenditure on recreation and open space assets is on maintenance activities and the current budget is considered to be in line with annual requirements to achieve the adopted lev</w:t>
      </w:r>
      <w:r>
        <w:t>el of service standards. Table 12</w:t>
      </w:r>
      <w:r w:rsidRPr="00EA2F26">
        <w:t xml:space="preserve"> below provides a breakdown of the annual</w:t>
      </w:r>
      <w:r>
        <w:t xml:space="preserve"> costs of maintaining Council’s recreation and open s</w:t>
      </w:r>
      <w:r w:rsidRPr="00EA2F26">
        <w:t xml:space="preserve">pace assets. </w:t>
      </w:r>
    </w:p>
    <w:p w:rsidR="00D02973" w:rsidRPr="00EA2F26" w:rsidRDefault="00D02973" w:rsidP="00D02973">
      <w:pPr>
        <w:jc w:val="both"/>
        <w:rPr>
          <w:b/>
        </w:rPr>
      </w:pPr>
      <w:r w:rsidRPr="00EA2F26">
        <w:rPr>
          <w:b/>
        </w:rPr>
        <w:t xml:space="preserve">Table </w:t>
      </w:r>
      <w:r>
        <w:rPr>
          <w:b/>
        </w:rPr>
        <w:t>12</w:t>
      </w:r>
      <w:r w:rsidRPr="00EA2F26">
        <w:rPr>
          <w:b/>
        </w:rPr>
        <w:t>: Recreation and open space asset maintenance allocations 2015/16</w:t>
      </w:r>
    </w:p>
    <w:tbl>
      <w:tblPr>
        <w:tblW w:w="59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0"/>
        <w:gridCol w:w="2194"/>
      </w:tblGrid>
      <w:tr w:rsidR="00D02973" w:rsidRPr="00EA2F26" w:rsidTr="00DF2FAC">
        <w:trPr>
          <w:trHeight w:val="300"/>
        </w:trPr>
        <w:tc>
          <w:tcPr>
            <w:tcW w:w="3760" w:type="dxa"/>
            <w:shd w:val="clear" w:color="auto" w:fill="000000" w:themeFill="text1"/>
            <w:noWrap/>
            <w:hideMark/>
          </w:tcPr>
          <w:p w:rsidR="00D02973" w:rsidRPr="00EA2F26" w:rsidRDefault="00D02973" w:rsidP="00DF2FAC">
            <w:pPr>
              <w:spacing w:after="0"/>
              <w:rPr>
                <w:rFonts w:eastAsia="Times New Roman" w:cs="Microsoft Sans Serif"/>
                <w:b/>
                <w:color w:val="FFFFFF" w:themeColor="background1"/>
                <w:lang w:eastAsia="en-AU"/>
              </w:rPr>
            </w:pPr>
            <w:r w:rsidRPr="00EA2F26">
              <w:rPr>
                <w:rFonts w:eastAsiaTheme="minorEastAsia"/>
                <w:color w:val="FFFFFF" w:themeColor="background1"/>
              </w:rPr>
              <w:t>Maintenance Activity</w:t>
            </w:r>
          </w:p>
        </w:tc>
        <w:tc>
          <w:tcPr>
            <w:tcW w:w="2194" w:type="dxa"/>
            <w:shd w:val="clear" w:color="auto" w:fill="000000" w:themeFill="text1"/>
            <w:noWrap/>
            <w:hideMark/>
          </w:tcPr>
          <w:p w:rsidR="00D02973" w:rsidRPr="00EA2F26" w:rsidRDefault="00D02973" w:rsidP="00DF2FAC">
            <w:pPr>
              <w:spacing w:after="0"/>
              <w:jc w:val="right"/>
              <w:rPr>
                <w:rFonts w:eastAsia="Times New Roman" w:cs="Microsoft Sans Serif"/>
                <w:b/>
                <w:color w:val="FFFFFF" w:themeColor="background1"/>
                <w:lang w:eastAsia="en-AU"/>
              </w:rPr>
            </w:pPr>
            <w:r w:rsidRPr="00EA2F26">
              <w:rPr>
                <w:rFonts w:eastAsiaTheme="minorEastAsia"/>
                <w:color w:val="FFFFFF" w:themeColor="background1"/>
              </w:rPr>
              <w:t>Budget (Proposed 2015/16)</w:t>
            </w:r>
          </w:p>
        </w:tc>
      </w:tr>
      <w:tr w:rsidR="00D02973" w:rsidRPr="00EA2F26" w:rsidTr="00DF2FAC">
        <w:trPr>
          <w:trHeight w:val="300"/>
        </w:trPr>
        <w:tc>
          <w:tcPr>
            <w:tcW w:w="3760" w:type="dxa"/>
            <w:shd w:val="clear" w:color="auto" w:fill="auto"/>
            <w:noWrap/>
            <w:vAlign w:val="bottom"/>
          </w:tcPr>
          <w:p w:rsidR="00D02973" w:rsidRPr="00EA2F26" w:rsidRDefault="00D02973" w:rsidP="00DF2FAC">
            <w:pPr>
              <w:spacing w:after="0"/>
              <w:rPr>
                <w:rFonts w:eastAsia="Times New Roman" w:cs="Microsoft Sans Serif"/>
                <w:color w:val="0F0F0F"/>
                <w:lang w:eastAsia="en-AU"/>
              </w:rPr>
            </w:pPr>
            <w:r w:rsidRPr="00EA2F26">
              <w:rPr>
                <w:rFonts w:cs="Calibri"/>
                <w:color w:val="000000"/>
              </w:rPr>
              <w:t>Open Space Management</w:t>
            </w:r>
          </w:p>
        </w:tc>
        <w:tc>
          <w:tcPr>
            <w:tcW w:w="2194" w:type="dxa"/>
            <w:shd w:val="clear" w:color="auto" w:fill="auto"/>
            <w:noWrap/>
            <w:vAlign w:val="bottom"/>
          </w:tcPr>
          <w:p w:rsidR="00D02973" w:rsidRPr="00EA2F26" w:rsidRDefault="00D02973" w:rsidP="00DF2FAC">
            <w:pPr>
              <w:spacing w:after="0"/>
              <w:jc w:val="right"/>
              <w:rPr>
                <w:rFonts w:eastAsia="Times New Roman" w:cs="Microsoft Sans Serif"/>
                <w:color w:val="000000"/>
                <w:lang w:eastAsia="en-AU"/>
              </w:rPr>
            </w:pPr>
            <w:r w:rsidRPr="00EA2F26">
              <w:rPr>
                <w:rFonts w:eastAsia="Times New Roman" w:cs="Times New Roman"/>
                <w:color w:val="000000"/>
                <w:lang w:eastAsia="en-AU"/>
              </w:rPr>
              <w:t>$1,633,495</w:t>
            </w:r>
          </w:p>
        </w:tc>
      </w:tr>
      <w:tr w:rsidR="00D02973" w:rsidRPr="00EA2F26" w:rsidTr="00DF2FAC">
        <w:trPr>
          <w:trHeight w:val="300"/>
        </w:trPr>
        <w:tc>
          <w:tcPr>
            <w:tcW w:w="3760" w:type="dxa"/>
            <w:shd w:val="clear" w:color="auto" w:fill="auto"/>
            <w:noWrap/>
            <w:vAlign w:val="bottom"/>
          </w:tcPr>
          <w:p w:rsidR="00D02973" w:rsidRPr="00EA2F26" w:rsidRDefault="00D02973" w:rsidP="00DF2FAC">
            <w:pPr>
              <w:spacing w:after="0"/>
              <w:rPr>
                <w:rFonts w:eastAsia="Times New Roman" w:cs="Microsoft Sans Serif"/>
                <w:color w:val="0F0F0F"/>
                <w:lang w:eastAsia="en-AU"/>
              </w:rPr>
            </w:pPr>
            <w:r w:rsidRPr="00EA2F26">
              <w:rPr>
                <w:rFonts w:cs="Calibri"/>
                <w:color w:val="000000"/>
              </w:rPr>
              <w:t>Bushland and Foreshore</w:t>
            </w:r>
          </w:p>
        </w:tc>
        <w:tc>
          <w:tcPr>
            <w:tcW w:w="2194" w:type="dxa"/>
            <w:shd w:val="clear" w:color="auto" w:fill="auto"/>
            <w:noWrap/>
            <w:vAlign w:val="bottom"/>
          </w:tcPr>
          <w:p w:rsidR="00D02973" w:rsidRPr="00EA2F26" w:rsidRDefault="00D02973" w:rsidP="00DF2FAC">
            <w:pPr>
              <w:spacing w:after="0"/>
              <w:jc w:val="right"/>
              <w:rPr>
                <w:rFonts w:eastAsia="Times New Roman" w:cs="Microsoft Sans Serif"/>
                <w:color w:val="000000"/>
                <w:lang w:eastAsia="en-AU"/>
              </w:rPr>
            </w:pPr>
            <w:r w:rsidRPr="00EA2F26">
              <w:t>$947,996</w:t>
            </w:r>
          </w:p>
        </w:tc>
      </w:tr>
      <w:tr w:rsidR="00D02973" w:rsidRPr="00EA2F26" w:rsidTr="00DF2FAC">
        <w:trPr>
          <w:trHeight w:val="300"/>
        </w:trPr>
        <w:tc>
          <w:tcPr>
            <w:tcW w:w="3760" w:type="dxa"/>
            <w:shd w:val="clear" w:color="auto" w:fill="auto"/>
            <w:noWrap/>
            <w:vAlign w:val="bottom"/>
          </w:tcPr>
          <w:p w:rsidR="00D02973" w:rsidRPr="00EA2F26" w:rsidRDefault="00D02973" w:rsidP="00DF2FAC">
            <w:pPr>
              <w:spacing w:after="0"/>
              <w:rPr>
                <w:rFonts w:eastAsia="Times New Roman" w:cs="Microsoft Sans Serif"/>
                <w:color w:val="0F0F0F"/>
                <w:lang w:eastAsia="en-AU"/>
              </w:rPr>
            </w:pPr>
            <w:r w:rsidRPr="00EA2F26">
              <w:rPr>
                <w:rFonts w:cs="Calibri"/>
                <w:color w:val="000000"/>
              </w:rPr>
              <w:t>Amenities and Beach Cleaning (receives DSE Subsidy $175,000 pa)</w:t>
            </w:r>
          </w:p>
        </w:tc>
        <w:tc>
          <w:tcPr>
            <w:tcW w:w="2194" w:type="dxa"/>
            <w:shd w:val="clear" w:color="auto" w:fill="auto"/>
            <w:noWrap/>
            <w:vAlign w:val="bottom"/>
          </w:tcPr>
          <w:p w:rsidR="00D02973" w:rsidRPr="00EA2F26" w:rsidRDefault="00D02973" w:rsidP="00DF2FAC">
            <w:pPr>
              <w:spacing w:after="0"/>
              <w:jc w:val="right"/>
              <w:rPr>
                <w:rFonts w:eastAsia="Times New Roman" w:cs="Microsoft Sans Serif"/>
                <w:color w:val="000000"/>
                <w:lang w:eastAsia="en-AU"/>
              </w:rPr>
            </w:pPr>
            <w:r w:rsidRPr="00EA2F26">
              <w:t>$1,315,266</w:t>
            </w:r>
          </w:p>
        </w:tc>
      </w:tr>
      <w:tr w:rsidR="00D02973" w:rsidRPr="00EA2F26" w:rsidTr="00DF2FAC">
        <w:trPr>
          <w:trHeight w:val="300"/>
        </w:trPr>
        <w:tc>
          <w:tcPr>
            <w:tcW w:w="3760" w:type="dxa"/>
            <w:shd w:val="clear" w:color="auto" w:fill="auto"/>
            <w:noWrap/>
            <w:vAlign w:val="bottom"/>
          </w:tcPr>
          <w:p w:rsidR="00D02973" w:rsidRPr="00EA2F26" w:rsidRDefault="00D02973" w:rsidP="00DF2FAC">
            <w:pPr>
              <w:spacing w:after="0"/>
              <w:rPr>
                <w:rFonts w:eastAsia="Times New Roman" w:cs="Microsoft Sans Serif"/>
                <w:color w:val="0F0F0F"/>
                <w:lang w:eastAsia="en-AU"/>
              </w:rPr>
            </w:pPr>
            <w:r w:rsidRPr="00EA2F26">
              <w:rPr>
                <w:rFonts w:cs="Calibri"/>
                <w:color w:val="000000"/>
              </w:rPr>
              <w:t>Horticulture</w:t>
            </w:r>
          </w:p>
        </w:tc>
        <w:tc>
          <w:tcPr>
            <w:tcW w:w="2194" w:type="dxa"/>
            <w:shd w:val="clear" w:color="auto" w:fill="auto"/>
            <w:noWrap/>
            <w:vAlign w:val="bottom"/>
          </w:tcPr>
          <w:p w:rsidR="00D02973" w:rsidRPr="00EA2F26" w:rsidRDefault="00D02973" w:rsidP="00DF2FAC">
            <w:pPr>
              <w:spacing w:after="0"/>
              <w:jc w:val="right"/>
              <w:rPr>
                <w:rFonts w:eastAsia="Times New Roman" w:cs="Microsoft Sans Serif"/>
                <w:color w:val="000000"/>
                <w:lang w:eastAsia="en-AU"/>
              </w:rPr>
            </w:pPr>
            <w:r w:rsidRPr="00EA2F26">
              <w:t>$1,158,302</w:t>
            </w:r>
          </w:p>
        </w:tc>
      </w:tr>
      <w:tr w:rsidR="00D02973" w:rsidRPr="00EA2F26" w:rsidTr="00DF2FAC">
        <w:trPr>
          <w:trHeight w:val="300"/>
        </w:trPr>
        <w:tc>
          <w:tcPr>
            <w:tcW w:w="3760" w:type="dxa"/>
            <w:shd w:val="clear" w:color="auto" w:fill="auto"/>
            <w:noWrap/>
            <w:vAlign w:val="bottom"/>
          </w:tcPr>
          <w:p w:rsidR="00D02973" w:rsidRPr="00EA2F26" w:rsidRDefault="00D02973" w:rsidP="00DF2FAC">
            <w:pPr>
              <w:spacing w:after="0"/>
              <w:rPr>
                <w:rFonts w:cs="Calibri"/>
                <w:color w:val="000000"/>
              </w:rPr>
            </w:pPr>
            <w:r w:rsidRPr="00EA2F26">
              <w:rPr>
                <w:rFonts w:cs="Calibri"/>
                <w:color w:val="000000"/>
              </w:rPr>
              <w:t>Environmental Sustainability</w:t>
            </w:r>
          </w:p>
        </w:tc>
        <w:tc>
          <w:tcPr>
            <w:tcW w:w="2194" w:type="dxa"/>
            <w:shd w:val="clear" w:color="auto" w:fill="auto"/>
            <w:noWrap/>
            <w:vAlign w:val="bottom"/>
          </w:tcPr>
          <w:p w:rsidR="00D02973" w:rsidRPr="00EA2F26" w:rsidRDefault="00D02973" w:rsidP="00DF2FAC">
            <w:pPr>
              <w:spacing w:after="0"/>
              <w:jc w:val="right"/>
              <w:rPr>
                <w:rFonts w:eastAsia="Times New Roman" w:cs="Microsoft Sans Serif"/>
                <w:color w:val="000000"/>
                <w:lang w:eastAsia="en-AU"/>
              </w:rPr>
            </w:pPr>
            <w:r w:rsidRPr="00EA2F26">
              <w:t>$445,753</w:t>
            </w:r>
          </w:p>
        </w:tc>
      </w:tr>
      <w:tr w:rsidR="00D02973" w:rsidRPr="00EA2F26" w:rsidTr="00DF2FAC">
        <w:trPr>
          <w:trHeight w:val="300"/>
        </w:trPr>
        <w:tc>
          <w:tcPr>
            <w:tcW w:w="3760" w:type="dxa"/>
            <w:shd w:val="clear" w:color="auto" w:fill="auto"/>
            <w:noWrap/>
            <w:vAlign w:val="bottom"/>
          </w:tcPr>
          <w:p w:rsidR="00D02973" w:rsidRPr="00EA2F26" w:rsidRDefault="00D02973" w:rsidP="00DF2FAC">
            <w:pPr>
              <w:spacing w:after="0"/>
              <w:rPr>
                <w:rFonts w:eastAsia="Times New Roman" w:cs="Microsoft Sans Serif"/>
                <w:color w:val="0F0F0F"/>
                <w:lang w:eastAsia="en-AU"/>
              </w:rPr>
            </w:pPr>
            <w:r w:rsidRPr="00EA2F26">
              <w:rPr>
                <w:rFonts w:cs="Calibri"/>
                <w:color w:val="000000"/>
              </w:rPr>
              <w:t xml:space="preserve">Infrastructure </w:t>
            </w:r>
          </w:p>
        </w:tc>
        <w:tc>
          <w:tcPr>
            <w:tcW w:w="2194" w:type="dxa"/>
            <w:shd w:val="clear" w:color="auto" w:fill="auto"/>
            <w:noWrap/>
            <w:vAlign w:val="bottom"/>
          </w:tcPr>
          <w:p w:rsidR="00D02973" w:rsidRPr="00EA2F26" w:rsidRDefault="00D02973" w:rsidP="00DF2FAC">
            <w:pPr>
              <w:spacing w:after="0"/>
              <w:jc w:val="right"/>
              <w:rPr>
                <w:rFonts w:eastAsia="Times New Roman" w:cs="Microsoft Sans Serif"/>
                <w:color w:val="000000"/>
                <w:lang w:eastAsia="en-AU"/>
              </w:rPr>
            </w:pPr>
            <w:r w:rsidRPr="00EA2F26">
              <w:t>$1,020,842</w:t>
            </w:r>
          </w:p>
        </w:tc>
      </w:tr>
      <w:tr w:rsidR="00D02973" w:rsidRPr="00EA2F26" w:rsidTr="00DF2FAC">
        <w:trPr>
          <w:trHeight w:val="300"/>
        </w:trPr>
        <w:tc>
          <w:tcPr>
            <w:tcW w:w="3760" w:type="dxa"/>
            <w:shd w:val="clear" w:color="auto" w:fill="auto"/>
            <w:noWrap/>
            <w:vAlign w:val="bottom"/>
          </w:tcPr>
          <w:p w:rsidR="00D02973" w:rsidRPr="00EA2F26" w:rsidRDefault="00D02973" w:rsidP="00DF2FAC">
            <w:pPr>
              <w:spacing w:after="0"/>
              <w:rPr>
                <w:rFonts w:eastAsia="Times New Roman" w:cs="Microsoft Sans Serif"/>
                <w:color w:val="0F0F0F"/>
                <w:lang w:eastAsia="en-AU"/>
              </w:rPr>
            </w:pPr>
            <w:r w:rsidRPr="00EA2F26">
              <w:rPr>
                <w:rFonts w:cs="Calibri"/>
                <w:color w:val="000000"/>
              </w:rPr>
              <w:t>Sports grounds/Turf</w:t>
            </w:r>
          </w:p>
        </w:tc>
        <w:tc>
          <w:tcPr>
            <w:tcW w:w="2194" w:type="dxa"/>
            <w:shd w:val="clear" w:color="auto" w:fill="auto"/>
            <w:noWrap/>
            <w:vAlign w:val="bottom"/>
          </w:tcPr>
          <w:p w:rsidR="00D02973" w:rsidRPr="00EA2F26" w:rsidRDefault="00D02973" w:rsidP="00DF2FAC">
            <w:pPr>
              <w:spacing w:after="0"/>
              <w:jc w:val="right"/>
              <w:rPr>
                <w:rFonts w:eastAsia="Times New Roman" w:cs="Microsoft Sans Serif"/>
                <w:color w:val="000000"/>
                <w:lang w:eastAsia="en-AU"/>
              </w:rPr>
            </w:pPr>
            <w:r w:rsidRPr="00EA2F26">
              <w:t>$1,607,023</w:t>
            </w:r>
          </w:p>
        </w:tc>
      </w:tr>
      <w:tr w:rsidR="00D02973" w:rsidRPr="00EA2F26" w:rsidTr="00DF2FAC">
        <w:trPr>
          <w:trHeight w:val="300"/>
        </w:trPr>
        <w:tc>
          <w:tcPr>
            <w:tcW w:w="3760" w:type="dxa"/>
            <w:shd w:val="clear" w:color="auto" w:fill="auto"/>
            <w:noWrap/>
            <w:vAlign w:val="bottom"/>
          </w:tcPr>
          <w:p w:rsidR="00D02973" w:rsidRPr="00EA2F26" w:rsidRDefault="00D02973" w:rsidP="00DF2FAC">
            <w:pPr>
              <w:spacing w:after="0"/>
              <w:rPr>
                <w:rFonts w:eastAsia="Times New Roman" w:cs="Microsoft Sans Serif"/>
                <w:color w:val="0F0F0F"/>
                <w:lang w:eastAsia="en-AU"/>
              </w:rPr>
            </w:pPr>
            <w:r w:rsidRPr="00EA2F26">
              <w:rPr>
                <w:rFonts w:cs="Calibri"/>
                <w:color w:val="000000"/>
              </w:rPr>
              <w:t>Nursery(after sales cost)</w:t>
            </w:r>
          </w:p>
        </w:tc>
        <w:tc>
          <w:tcPr>
            <w:tcW w:w="2194" w:type="dxa"/>
            <w:shd w:val="clear" w:color="auto" w:fill="auto"/>
            <w:noWrap/>
            <w:vAlign w:val="bottom"/>
          </w:tcPr>
          <w:p w:rsidR="00D02973" w:rsidRPr="00EA2F26" w:rsidRDefault="00D02973" w:rsidP="00DF2FAC">
            <w:pPr>
              <w:spacing w:after="0"/>
              <w:jc w:val="right"/>
              <w:rPr>
                <w:rFonts w:eastAsia="Times New Roman" w:cs="Microsoft Sans Serif"/>
                <w:color w:val="000000"/>
                <w:lang w:eastAsia="en-AU"/>
              </w:rPr>
            </w:pPr>
            <w:r w:rsidRPr="00EA2F26">
              <w:t>$96,834</w:t>
            </w:r>
          </w:p>
        </w:tc>
      </w:tr>
      <w:tr w:rsidR="00D02973" w:rsidRPr="00EA2F26" w:rsidTr="00DF2FAC">
        <w:trPr>
          <w:trHeight w:val="300"/>
        </w:trPr>
        <w:tc>
          <w:tcPr>
            <w:tcW w:w="3760" w:type="dxa"/>
            <w:shd w:val="clear" w:color="auto" w:fill="auto"/>
            <w:noWrap/>
            <w:vAlign w:val="bottom"/>
          </w:tcPr>
          <w:p w:rsidR="00D02973" w:rsidRPr="00EA2F26" w:rsidRDefault="00D02973" w:rsidP="00DF2FAC">
            <w:pPr>
              <w:spacing w:after="0"/>
              <w:rPr>
                <w:rFonts w:eastAsia="Times New Roman" w:cs="Microsoft Sans Serif"/>
                <w:color w:val="0F0F0F"/>
                <w:lang w:eastAsia="en-AU"/>
              </w:rPr>
            </w:pPr>
            <w:r w:rsidRPr="00EA2F26">
              <w:rPr>
                <w:rFonts w:cs="Calibri"/>
                <w:color w:val="000000"/>
              </w:rPr>
              <w:t>Trees (street/park)</w:t>
            </w:r>
          </w:p>
        </w:tc>
        <w:tc>
          <w:tcPr>
            <w:tcW w:w="2194" w:type="dxa"/>
            <w:shd w:val="clear" w:color="auto" w:fill="auto"/>
            <w:noWrap/>
            <w:vAlign w:val="bottom"/>
          </w:tcPr>
          <w:p w:rsidR="00D02973" w:rsidRPr="00EA2F26" w:rsidRDefault="00D02973" w:rsidP="00DF2FAC">
            <w:pPr>
              <w:spacing w:after="0"/>
              <w:jc w:val="right"/>
              <w:rPr>
                <w:rFonts w:eastAsia="Times New Roman" w:cs="Microsoft Sans Serif"/>
                <w:color w:val="000000"/>
                <w:lang w:eastAsia="en-AU"/>
              </w:rPr>
            </w:pPr>
            <w:r w:rsidRPr="00EA2F26">
              <w:t>$1,842,635</w:t>
            </w:r>
          </w:p>
        </w:tc>
      </w:tr>
      <w:tr w:rsidR="00D02973" w:rsidRPr="00EA2F26" w:rsidTr="00DF2FAC">
        <w:trPr>
          <w:trHeight w:val="300"/>
        </w:trPr>
        <w:tc>
          <w:tcPr>
            <w:tcW w:w="3760" w:type="dxa"/>
            <w:shd w:val="clear" w:color="auto" w:fill="auto"/>
            <w:noWrap/>
            <w:vAlign w:val="bottom"/>
          </w:tcPr>
          <w:p w:rsidR="00D02973" w:rsidRPr="00EA2F26" w:rsidRDefault="00D02973" w:rsidP="00DF2FAC">
            <w:pPr>
              <w:spacing w:after="0"/>
              <w:rPr>
                <w:rFonts w:eastAsia="Times New Roman" w:cs="Microsoft Sans Serif"/>
                <w:color w:val="0F0F0F"/>
                <w:lang w:eastAsia="en-AU"/>
              </w:rPr>
            </w:pPr>
            <w:r w:rsidRPr="00EA2F26">
              <w:rPr>
                <w:rFonts w:cs="Calibri"/>
                <w:color w:val="000000"/>
              </w:rPr>
              <w:t>Tree Planting</w:t>
            </w:r>
          </w:p>
        </w:tc>
        <w:tc>
          <w:tcPr>
            <w:tcW w:w="2194" w:type="dxa"/>
            <w:shd w:val="clear" w:color="auto" w:fill="auto"/>
            <w:noWrap/>
            <w:vAlign w:val="bottom"/>
          </w:tcPr>
          <w:p w:rsidR="00D02973" w:rsidRPr="00EA2F26" w:rsidRDefault="00D02973" w:rsidP="00DF2FAC">
            <w:pPr>
              <w:spacing w:after="0"/>
              <w:jc w:val="right"/>
              <w:rPr>
                <w:rFonts w:eastAsia="Times New Roman" w:cs="Microsoft Sans Serif"/>
                <w:color w:val="000000"/>
                <w:lang w:eastAsia="en-AU"/>
              </w:rPr>
            </w:pPr>
            <w:r w:rsidRPr="00EA2F26">
              <w:t>$475,728</w:t>
            </w:r>
          </w:p>
        </w:tc>
      </w:tr>
      <w:tr w:rsidR="00D02973" w:rsidRPr="00EA2F26" w:rsidTr="00DF2FAC">
        <w:trPr>
          <w:trHeight w:val="300"/>
        </w:trPr>
        <w:tc>
          <w:tcPr>
            <w:tcW w:w="3760" w:type="dxa"/>
            <w:shd w:val="clear" w:color="auto" w:fill="000000" w:themeFill="text1"/>
            <w:noWrap/>
            <w:vAlign w:val="bottom"/>
            <w:hideMark/>
          </w:tcPr>
          <w:p w:rsidR="00D02973" w:rsidRPr="00EA2F26" w:rsidRDefault="00D02973" w:rsidP="00DF2FAC">
            <w:pPr>
              <w:spacing w:after="0"/>
              <w:jc w:val="right"/>
              <w:rPr>
                <w:rFonts w:eastAsia="Times New Roman" w:cs="Microsoft Sans Serif"/>
                <w:b/>
                <w:color w:val="FFFFFF" w:themeColor="background1"/>
                <w:lang w:eastAsia="en-AU"/>
              </w:rPr>
            </w:pPr>
            <w:r w:rsidRPr="00EA2F26">
              <w:rPr>
                <w:rFonts w:eastAsia="Times New Roman" w:cs="Microsoft Sans Serif"/>
                <w:b/>
                <w:color w:val="FFFFFF" w:themeColor="background1"/>
                <w:lang w:eastAsia="en-AU"/>
              </w:rPr>
              <w:t>TOTAL</w:t>
            </w:r>
          </w:p>
        </w:tc>
        <w:tc>
          <w:tcPr>
            <w:tcW w:w="2194" w:type="dxa"/>
            <w:shd w:val="clear" w:color="auto" w:fill="000000" w:themeFill="text1"/>
            <w:noWrap/>
            <w:vAlign w:val="bottom"/>
          </w:tcPr>
          <w:p w:rsidR="00D02973" w:rsidRPr="00EA2F26" w:rsidRDefault="00D02973" w:rsidP="00DF2FAC">
            <w:pPr>
              <w:spacing w:after="0"/>
              <w:jc w:val="right"/>
              <w:rPr>
                <w:rFonts w:eastAsia="Times New Roman" w:cs="Times New Roman"/>
                <w:b/>
                <w:color w:val="FFFFFF" w:themeColor="background1"/>
                <w:lang w:eastAsia="en-AU"/>
              </w:rPr>
            </w:pPr>
            <w:r w:rsidRPr="00EA2F26">
              <w:rPr>
                <w:rFonts w:eastAsia="Times New Roman" w:cs="Times New Roman"/>
                <w:b/>
                <w:bCs/>
                <w:color w:val="FFFFFF"/>
                <w:lang w:eastAsia="en-AU"/>
              </w:rPr>
              <w:t>$10,543,874</w:t>
            </w:r>
          </w:p>
        </w:tc>
      </w:tr>
    </w:tbl>
    <w:p w:rsidR="00D02973" w:rsidRPr="00EA2F26" w:rsidRDefault="00D02973" w:rsidP="00D02973">
      <w:pPr>
        <w:pStyle w:val="ListParagraph"/>
      </w:pPr>
    </w:p>
    <w:p w:rsidR="00D02973" w:rsidRPr="00EA2F26" w:rsidRDefault="00D02973" w:rsidP="00D02973">
      <w:pPr>
        <w:pStyle w:val="ListParagraph"/>
        <w:ind w:left="0"/>
        <w:rPr>
          <w:highlight w:val="yellow"/>
        </w:rPr>
      </w:pPr>
      <w:r w:rsidRPr="00EA2F26">
        <w:t xml:space="preserve">It is noted that a </w:t>
      </w:r>
      <w:r>
        <w:t>Council</w:t>
      </w:r>
      <w:r w:rsidRPr="00EA2F26">
        <w:t xml:space="preserve"> resolution was made in 2015 to allocate an additional $150,000 a year to the provision of new approaches to Herbicides / weed control.</w:t>
      </w:r>
    </w:p>
    <w:p w:rsidR="00D02973" w:rsidRPr="00EA2F26" w:rsidRDefault="00D02973" w:rsidP="00D02973">
      <w:r w:rsidRPr="00EA2F26">
        <w:t xml:space="preserve">While designed to achieve the adopted service levels in the R&amp;OS-AMP, these programs continue to be tested and their effectiveness monitored and measured over time to allow for a future review of the service. </w:t>
      </w:r>
    </w:p>
    <w:p w:rsidR="00D02973" w:rsidRPr="00EA2F26" w:rsidRDefault="00D02973" w:rsidP="00D02973">
      <w:r>
        <w:lastRenderedPageBreak/>
        <w:t xml:space="preserve">Table 13 </w:t>
      </w:r>
      <w:r w:rsidRPr="00EA2F26">
        <w:t xml:space="preserve">below shows the predicted increase in maintenance costs over the next 10 years due to annual cost escalation and the additional maintenance requirements of new assets created over this period. </w:t>
      </w:r>
    </w:p>
    <w:p w:rsidR="00D02973" w:rsidRPr="00EA2F26" w:rsidRDefault="00D02973" w:rsidP="00D02973">
      <w:pPr>
        <w:jc w:val="both"/>
        <w:rPr>
          <w:b/>
        </w:rPr>
      </w:pPr>
      <w:r>
        <w:rPr>
          <w:b/>
        </w:rPr>
        <w:t>Table 13</w:t>
      </w:r>
      <w:r w:rsidRPr="00EA2F26">
        <w:rPr>
          <w:b/>
        </w:rPr>
        <w:t>: 10-year Maintenance Cost Projects</w:t>
      </w:r>
    </w:p>
    <w:tbl>
      <w:tblPr>
        <w:tblW w:w="9829" w:type="dxa"/>
        <w:tblLook w:val="04A0" w:firstRow="1" w:lastRow="0" w:firstColumn="1" w:lastColumn="0" w:noHBand="0" w:noVBand="1"/>
      </w:tblPr>
      <w:tblGrid>
        <w:gridCol w:w="2724"/>
        <w:gridCol w:w="1421"/>
        <w:gridCol w:w="1421"/>
        <w:gridCol w:w="1421"/>
        <w:gridCol w:w="1421"/>
        <w:gridCol w:w="1421"/>
      </w:tblGrid>
      <w:tr w:rsidR="00D02973" w:rsidRPr="00AD53C5" w:rsidTr="00DF2FAC">
        <w:trPr>
          <w:trHeight w:val="321"/>
        </w:trPr>
        <w:tc>
          <w:tcPr>
            <w:tcW w:w="2724" w:type="dxa"/>
            <w:tcBorders>
              <w:top w:val="single" w:sz="8" w:space="0" w:color="auto"/>
              <w:left w:val="single" w:sz="8" w:space="0" w:color="auto"/>
              <w:bottom w:val="single" w:sz="8" w:space="0" w:color="auto"/>
              <w:right w:val="single" w:sz="8" w:space="0" w:color="auto"/>
            </w:tcBorders>
            <w:shd w:val="clear" w:color="000000" w:fill="000000"/>
            <w:noWrap/>
            <w:hideMark/>
          </w:tcPr>
          <w:p w:rsidR="00D02973" w:rsidRPr="00337438" w:rsidRDefault="00D02973" w:rsidP="00DF2FAC">
            <w:pPr>
              <w:spacing w:after="0" w:line="240" w:lineRule="auto"/>
              <w:rPr>
                <w:rFonts w:ascii="Arial Narrow" w:eastAsia="Times New Roman" w:hAnsi="Arial Narrow" w:cs="Times New Roman"/>
                <w:color w:val="FFFFFF"/>
                <w:sz w:val="18"/>
                <w:lang w:eastAsia="en-AU"/>
              </w:rPr>
            </w:pPr>
            <w:r w:rsidRPr="00337438">
              <w:rPr>
                <w:rFonts w:ascii="Arial Narrow" w:eastAsia="Times New Roman" w:hAnsi="Arial Narrow" w:cs="Times New Roman"/>
                <w:color w:val="FFFFFF"/>
                <w:sz w:val="18"/>
                <w:lang w:eastAsia="en-AU"/>
              </w:rPr>
              <w:t>Maintenance Activity</w:t>
            </w:r>
          </w:p>
        </w:tc>
        <w:tc>
          <w:tcPr>
            <w:tcW w:w="1421" w:type="dxa"/>
            <w:tcBorders>
              <w:top w:val="single" w:sz="8" w:space="0" w:color="auto"/>
              <w:left w:val="nil"/>
              <w:bottom w:val="single" w:sz="8" w:space="0" w:color="auto"/>
              <w:right w:val="single" w:sz="8" w:space="0" w:color="auto"/>
            </w:tcBorders>
            <w:shd w:val="clear" w:color="000000" w:fill="000000"/>
            <w:noWrap/>
            <w:hideMark/>
          </w:tcPr>
          <w:p w:rsidR="00D02973" w:rsidRPr="00337438" w:rsidRDefault="00D02973" w:rsidP="00DF2FAC">
            <w:pPr>
              <w:spacing w:after="0" w:line="240" w:lineRule="auto"/>
              <w:jc w:val="right"/>
              <w:rPr>
                <w:rFonts w:ascii="Arial Narrow" w:eastAsia="Times New Roman" w:hAnsi="Arial Narrow" w:cs="Times New Roman"/>
                <w:color w:val="FFFFFF"/>
                <w:sz w:val="18"/>
                <w:lang w:eastAsia="en-AU"/>
              </w:rPr>
            </w:pPr>
            <w:r w:rsidRPr="00337438">
              <w:rPr>
                <w:rFonts w:ascii="Arial Narrow" w:eastAsia="Times New Roman" w:hAnsi="Arial Narrow" w:cs="Times New Roman"/>
                <w:color w:val="FFFFFF"/>
                <w:sz w:val="18"/>
                <w:lang w:eastAsia="en-AU"/>
              </w:rPr>
              <w:t>2015/16</w:t>
            </w:r>
          </w:p>
        </w:tc>
        <w:tc>
          <w:tcPr>
            <w:tcW w:w="1421" w:type="dxa"/>
            <w:tcBorders>
              <w:top w:val="single" w:sz="8" w:space="0" w:color="auto"/>
              <w:left w:val="nil"/>
              <w:bottom w:val="single" w:sz="8" w:space="0" w:color="auto"/>
              <w:right w:val="single" w:sz="8" w:space="0" w:color="auto"/>
            </w:tcBorders>
            <w:shd w:val="clear" w:color="000000" w:fill="000000"/>
            <w:noWrap/>
            <w:hideMark/>
          </w:tcPr>
          <w:p w:rsidR="00D02973" w:rsidRPr="00337438" w:rsidRDefault="00D02973" w:rsidP="00DF2FAC">
            <w:pPr>
              <w:spacing w:after="0" w:line="240" w:lineRule="auto"/>
              <w:jc w:val="right"/>
              <w:rPr>
                <w:rFonts w:ascii="Arial Narrow" w:eastAsia="Times New Roman" w:hAnsi="Arial Narrow" w:cs="Times New Roman"/>
                <w:color w:val="FFFFFF"/>
                <w:sz w:val="18"/>
                <w:lang w:eastAsia="en-AU"/>
              </w:rPr>
            </w:pPr>
            <w:r w:rsidRPr="00337438">
              <w:rPr>
                <w:rFonts w:ascii="Arial Narrow" w:eastAsia="Times New Roman" w:hAnsi="Arial Narrow" w:cs="Times New Roman"/>
                <w:color w:val="FFFFFF"/>
                <w:sz w:val="18"/>
                <w:lang w:eastAsia="en-AU"/>
              </w:rPr>
              <w:t>2016/17</w:t>
            </w:r>
          </w:p>
        </w:tc>
        <w:tc>
          <w:tcPr>
            <w:tcW w:w="1421" w:type="dxa"/>
            <w:tcBorders>
              <w:top w:val="single" w:sz="8" w:space="0" w:color="auto"/>
              <w:left w:val="nil"/>
              <w:bottom w:val="single" w:sz="8" w:space="0" w:color="auto"/>
              <w:right w:val="single" w:sz="8" w:space="0" w:color="auto"/>
            </w:tcBorders>
            <w:shd w:val="clear" w:color="000000" w:fill="000000"/>
            <w:noWrap/>
            <w:hideMark/>
          </w:tcPr>
          <w:p w:rsidR="00D02973" w:rsidRPr="00337438" w:rsidRDefault="00D02973" w:rsidP="00DF2FAC">
            <w:pPr>
              <w:spacing w:after="0" w:line="240" w:lineRule="auto"/>
              <w:jc w:val="right"/>
              <w:rPr>
                <w:rFonts w:ascii="Arial Narrow" w:eastAsia="Times New Roman" w:hAnsi="Arial Narrow" w:cs="Times New Roman"/>
                <w:color w:val="FFFFFF"/>
                <w:sz w:val="18"/>
                <w:lang w:eastAsia="en-AU"/>
              </w:rPr>
            </w:pPr>
            <w:r w:rsidRPr="00337438">
              <w:rPr>
                <w:rFonts w:ascii="Arial Narrow" w:eastAsia="Times New Roman" w:hAnsi="Arial Narrow" w:cs="Times New Roman"/>
                <w:color w:val="FFFFFF"/>
                <w:sz w:val="18"/>
                <w:lang w:eastAsia="en-AU"/>
              </w:rPr>
              <w:t>2017/18</w:t>
            </w:r>
          </w:p>
        </w:tc>
        <w:tc>
          <w:tcPr>
            <w:tcW w:w="1421" w:type="dxa"/>
            <w:tcBorders>
              <w:top w:val="single" w:sz="8" w:space="0" w:color="auto"/>
              <w:left w:val="nil"/>
              <w:bottom w:val="single" w:sz="8" w:space="0" w:color="auto"/>
              <w:right w:val="single" w:sz="8" w:space="0" w:color="auto"/>
            </w:tcBorders>
            <w:shd w:val="clear" w:color="000000" w:fill="000000"/>
            <w:noWrap/>
            <w:hideMark/>
          </w:tcPr>
          <w:p w:rsidR="00D02973" w:rsidRPr="00337438" w:rsidRDefault="00D02973" w:rsidP="00DF2FAC">
            <w:pPr>
              <w:spacing w:after="0" w:line="240" w:lineRule="auto"/>
              <w:jc w:val="right"/>
              <w:rPr>
                <w:rFonts w:ascii="Arial Narrow" w:eastAsia="Times New Roman" w:hAnsi="Arial Narrow" w:cs="Times New Roman"/>
                <w:color w:val="FFFFFF"/>
                <w:sz w:val="18"/>
                <w:lang w:eastAsia="en-AU"/>
              </w:rPr>
            </w:pPr>
            <w:r w:rsidRPr="00337438">
              <w:rPr>
                <w:rFonts w:ascii="Arial Narrow" w:eastAsia="Times New Roman" w:hAnsi="Arial Narrow" w:cs="Times New Roman"/>
                <w:color w:val="FFFFFF"/>
                <w:sz w:val="18"/>
                <w:lang w:eastAsia="en-AU"/>
              </w:rPr>
              <w:t>2018/19</w:t>
            </w:r>
          </w:p>
        </w:tc>
        <w:tc>
          <w:tcPr>
            <w:tcW w:w="1421" w:type="dxa"/>
            <w:tcBorders>
              <w:top w:val="single" w:sz="8" w:space="0" w:color="auto"/>
              <w:left w:val="nil"/>
              <w:bottom w:val="single" w:sz="8" w:space="0" w:color="auto"/>
              <w:right w:val="single" w:sz="8" w:space="0" w:color="auto"/>
            </w:tcBorders>
            <w:shd w:val="clear" w:color="000000" w:fill="000000"/>
            <w:noWrap/>
            <w:hideMark/>
          </w:tcPr>
          <w:p w:rsidR="00D02973" w:rsidRPr="00337438" w:rsidRDefault="00D02973" w:rsidP="00DF2FAC">
            <w:pPr>
              <w:spacing w:after="0" w:line="240" w:lineRule="auto"/>
              <w:jc w:val="right"/>
              <w:rPr>
                <w:rFonts w:ascii="Arial Narrow" w:eastAsia="Times New Roman" w:hAnsi="Arial Narrow" w:cs="Times New Roman"/>
                <w:color w:val="FFFFFF"/>
                <w:sz w:val="18"/>
                <w:lang w:eastAsia="en-AU"/>
              </w:rPr>
            </w:pPr>
            <w:r w:rsidRPr="00337438">
              <w:rPr>
                <w:rFonts w:ascii="Arial Narrow" w:eastAsia="Times New Roman" w:hAnsi="Arial Narrow" w:cs="Times New Roman"/>
                <w:color w:val="FFFFFF"/>
                <w:sz w:val="18"/>
                <w:lang w:eastAsia="en-AU"/>
              </w:rPr>
              <w:t>2019/20</w:t>
            </w:r>
          </w:p>
        </w:tc>
      </w:tr>
      <w:tr w:rsidR="00D02973" w:rsidRPr="00AD53C5" w:rsidTr="00DF2FAC">
        <w:trPr>
          <w:trHeight w:val="321"/>
        </w:trPr>
        <w:tc>
          <w:tcPr>
            <w:tcW w:w="2724" w:type="dxa"/>
            <w:tcBorders>
              <w:top w:val="nil"/>
              <w:left w:val="single" w:sz="8" w:space="0" w:color="auto"/>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Open Space Management</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$1,633,495</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$1,682,500</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$1,732,975</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$1,784,964</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$1,838,513</w:t>
            </w:r>
          </w:p>
        </w:tc>
      </w:tr>
      <w:tr w:rsidR="00D02973" w:rsidRPr="00AD53C5" w:rsidTr="00DF2FAC">
        <w:trPr>
          <w:trHeight w:val="321"/>
        </w:trPr>
        <w:tc>
          <w:tcPr>
            <w:tcW w:w="2724" w:type="dxa"/>
            <w:tcBorders>
              <w:top w:val="nil"/>
              <w:left w:val="single" w:sz="8" w:space="0" w:color="auto"/>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Bushland and Foreshore</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$947,996</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$976,436</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$1,005,729</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$1,035,901</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$1,066,978</w:t>
            </w:r>
          </w:p>
        </w:tc>
      </w:tr>
      <w:tr w:rsidR="00D02973" w:rsidRPr="00AD53C5" w:rsidTr="00DF2FAC">
        <w:trPr>
          <w:trHeight w:val="321"/>
        </w:trPr>
        <w:tc>
          <w:tcPr>
            <w:tcW w:w="2724" w:type="dxa"/>
            <w:tcBorders>
              <w:top w:val="nil"/>
              <w:left w:val="single" w:sz="8" w:space="0" w:color="auto"/>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Amenities and Beach Cleaning</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$1,315,266</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$1,354,724</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$1,395,366</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$1,437,227</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$1,480,343</w:t>
            </w:r>
          </w:p>
        </w:tc>
      </w:tr>
      <w:tr w:rsidR="00D02973" w:rsidRPr="00AD53C5" w:rsidTr="00DF2FAC">
        <w:trPr>
          <w:trHeight w:val="321"/>
        </w:trPr>
        <w:tc>
          <w:tcPr>
            <w:tcW w:w="2724" w:type="dxa"/>
            <w:tcBorders>
              <w:top w:val="nil"/>
              <w:left w:val="single" w:sz="8" w:space="0" w:color="auto"/>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Horticulture</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$1,158,302</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$1,193,051</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$1,228,843</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$1,265,708</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$1,303,679</w:t>
            </w:r>
          </w:p>
        </w:tc>
      </w:tr>
      <w:tr w:rsidR="00D02973" w:rsidRPr="00AD53C5" w:rsidTr="00DF2FAC">
        <w:trPr>
          <w:trHeight w:val="321"/>
        </w:trPr>
        <w:tc>
          <w:tcPr>
            <w:tcW w:w="2724" w:type="dxa"/>
            <w:tcBorders>
              <w:top w:val="nil"/>
              <w:left w:val="single" w:sz="8" w:space="0" w:color="auto"/>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Environmental Sustainability</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$445,753</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$459,126</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$472,899</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$487,086</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$501,699</w:t>
            </w:r>
          </w:p>
        </w:tc>
      </w:tr>
      <w:tr w:rsidR="00D02973" w:rsidRPr="00AD53C5" w:rsidTr="00DF2FAC">
        <w:trPr>
          <w:trHeight w:val="321"/>
        </w:trPr>
        <w:tc>
          <w:tcPr>
            <w:tcW w:w="2724" w:type="dxa"/>
            <w:tcBorders>
              <w:top w:val="nil"/>
              <w:left w:val="single" w:sz="8" w:space="0" w:color="auto"/>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Infrastructure</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$1,020,842</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$1,051,467</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$1,083,011</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$1,115,502</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$1,148,967</w:t>
            </w:r>
          </w:p>
        </w:tc>
      </w:tr>
      <w:tr w:rsidR="00D02973" w:rsidRPr="00AD53C5" w:rsidTr="00DF2FAC">
        <w:trPr>
          <w:trHeight w:val="321"/>
        </w:trPr>
        <w:tc>
          <w:tcPr>
            <w:tcW w:w="2724" w:type="dxa"/>
            <w:tcBorders>
              <w:top w:val="nil"/>
              <w:left w:val="single" w:sz="8" w:space="0" w:color="auto"/>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Sports grounds/Turf</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$1,607,023</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$1,655,234</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$1,704,891</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$1,756,037</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$1,808,719</w:t>
            </w:r>
          </w:p>
        </w:tc>
      </w:tr>
      <w:tr w:rsidR="00D02973" w:rsidRPr="00AD53C5" w:rsidTr="00DF2FAC">
        <w:trPr>
          <w:trHeight w:val="321"/>
        </w:trPr>
        <w:tc>
          <w:tcPr>
            <w:tcW w:w="2724" w:type="dxa"/>
            <w:tcBorders>
              <w:top w:val="nil"/>
              <w:left w:val="single" w:sz="8" w:space="0" w:color="auto"/>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Nursery(after sales cost)</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$96,834</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$99,739</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$102,731</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$105,813</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$108,988</w:t>
            </w:r>
          </w:p>
        </w:tc>
      </w:tr>
      <w:tr w:rsidR="00D02973" w:rsidRPr="00AD53C5" w:rsidTr="00DF2FAC">
        <w:trPr>
          <w:trHeight w:val="321"/>
        </w:trPr>
        <w:tc>
          <w:tcPr>
            <w:tcW w:w="2724" w:type="dxa"/>
            <w:tcBorders>
              <w:top w:val="nil"/>
              <w:left w:val="single" w:sz="8" w:space="0" w:color="auto"/>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Trees (street/park)</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$1,842,635</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$1,897,914</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$1,954,851</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$2,013,497</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$2,073,902</w:t>
            </w:r>
          </w:p>
        </w:tc>
      </w:tr>
      <w:tr w:rsidR="00D02973" w:rsidRPr="00AD53C5" w:rsidTr="00DF2FAC">
        <w:trPr>
          <w:trHeight w:val="321"/>
        </w:trPr>
        <w:tc>
          <w:tcPr>
            <w:tcW w:w="2724" w:type="dxa"/>
            <w:tcBorders>
              <w:top w:val="nil"/>
              <w:left w:val="single" w:sz="8" w:space="0" w:color="auto"/>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Tree Planting</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$475,728</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$490,000</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$504,700</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$519,841</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$535,436</w:t>
            </w:r>
          </w:p>
        </w:tc>
      </w:tr>
      <w:tr w:rsidR="00D02973" w:rsidRPr="00AD53C5" w:rsidTr="00DF2FAC">
        <w:trPr>
          <w:trHeight w:val="321"/>
        </w:trPr>
        <w:tc>
          <w:tcPr>
            <w:tcW w:w="2724" w:type="dxa"/>
            <w:tcBorders>
              <w:top w:val="nil"/>
              <w:left w:val="single" w:sz="8" w:space="0" w:color="auto"/>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New approaches weed control</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$154,500</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$159,135</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$163,909</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$168,826</w:t>
            </w:r>
          </w:p>
        </w:tc>
      </w:tr>
      <w:tr w:rsidR="00D02973" w:rsidRPr="00AD53C5" w:rsidTr="00DF2FAC">
        <w:trPr>
          <w:trHeight w:val="321"/>
        </w:trPr>
        <w:tc>
          <w:tcPr>
            <w:tcW w:w="2724" w:type="dxa"/>
            <w:tcBorders>
              <w:top w:val="nil"/>
              <w:left w:val="single" w:sz="8" w:space="0" w:color="auto"/>
              <w:bottom w:val="single" w:sz="8" w:space="0" w:color="auto"/>
              <w:right w:val="single" w:sz="8" w:space="0" w:color="auto"/>
            </w:tcBorders>
            <w:shd w:val="clear" w:color="000000" w:fill="000000"/>
            <w:noWrap/>
            <w:vAlign w:val="bottom"/>
            <w:hideMark/>
          </w:tcPr>
          <w:p w:rsidR="00D02973" w:rsidRPr="00337438" w:rsidRDefault="00D02973" w:rsidP="00DF2FAC">
            <w:pPr>
              <w:spacing w:after="0" w:line="240" w:lineRule="auto"/>
              <w:jc w:val="right"/>
              <w:rPr>
                <w:rFonts w:ascii="Arial Narrow" w:eastAsia="Times New Roman" w:hAnsi="Arial Narrow" w:cs="Times New Roman"/>
                <w:b/>
                <w:bCs/>
                <w:color w:val="FFFFFF"/>
                <w:sz w:val="18"/>
                <w:lang w:eastAsia="en-AU"/>
              </w:rPr>
            </w:pPr>
            <w:r w:rsidRPr="00337438">
              <w:rPr>
                <w:rFonts w:ascii="Arial Narrow" w:eastAsia="Times New Roman" w:hAnsi="Arial Narrow" w:cs="Times New Roman"/>
                <w:b/>
                <w:bCs/>
                <w:color w:val="FFFFFF"/>
                <w:sz w:val="18"/>
                <w:lang w:eastAsia="en-AU"/>
              </w:rPr>
              <w:t>TOTAL</w:t>
            </w:r>
          </w:p>
        </w:tc>
        <w:tc>
          <w:tcPr>
            <w:tcW w:w="1421" w:type="dxa"/>
            <w:tcBorders>
              <w:top w:val="nil"/>
              <w:left w:val="nil"/>
              <w:bottom w:val="single" w:sz="8" w:space="0" w:color="auto"/>
              <w:right w:val="single" w:sz="8" w:space="0" w:color="auto"/>
            </w:tcBorders>
            <w:shd w:val="clear" w:color="000000" w:fill="000000"/>
            <w:noWrap/>
            <w:vAlign w:val="bottom"/>
            <w:hideMark/>
          </w:tcPr>
          <w:p w:rsidR="00D02973" w:rsidRPr="00337438" w:rsidRDefault="00D02973" w:rsidP="00DF2FAC">
            <w:pPr>
              <w:spacing w:after="0" w:line="240" w:lineRule="auto"/>
              <w:jc w:val="right"/>
              <w:rPr>
                <w:rFonts w:ascii="Arial Narrow" w:eastAsia="Times New Roman" w:hAnsi="Arial Narrow" w:cs="Times New Roman"/>
                <w:b/>
                <w:bCs/>
                <w:color w:val="FFFFFF"/>
                <w:sz w:val="18"/>
                <w:lang w:eastAsia="en-AU"/>
              </w:rPr>
            </w:pPr>
            <w:r>
              <w:rPr>
                <w:rFonts w:ascii="Arial Narrow" w:eastAsia="Times New Roman" w:hAnsi="Arial Narrow" w:cs="Times New Roman"/>
                <w:b/>
                <w:bCs/>
                <w:color w:val="FFFFFF"/>
                <w:sz w:val="18"/>
                <w:lang w:eastAsia="en-AU"/>
              </w:rPr>
              <w:t>$10,54</w:t>
            </w:r>
            <w:r w:rsidRPr="00337438">
              <w:rPr>
                <w:rFonts w:ascii="Arial Narrow" w:eastAsia="Times New Roman" w:hAnsi="Arial Narrow" w:cs="Times New Roman"/>
                <w:b/>
                <w:bCs/>
                <w:color w:val="FFFFFF"/>
                <w:sz w:val="18"/>
                <w:lang w:eastAsia="en-AU"/>
              </w:rPr>
              <w:t>3,874</w:t>
            </w:r>
          </w:p>
        </w:tc>
        <w:tc>
          <w:tcPr>
            <w:tcW w:w="1421" w:type="dxa"/>
            <w:tcBorders>
              <w:top w:val="nil"/>
              <w:left w:val="nil"/>
              <w:bottom w:val="single" w:sz="8" w:space="0" w:color="auto"/>
              <w:right w:val="single" w:sz="8" w:space="0" w:color="auto"/>
            </w:tcBorders>
            <w:shd w:val="clear" w:color="000000" w:fill="000000"/>
            <w:noWrap/>
            <w:vAlign w:val="bottom"/>
            <w:hideMark/>
          </w:tcPr>
          <w:p w:rsidR="00D02973" w:rsidRPr="00337438" w:rsidRDefault="00D02973" w:rsidP="00DF2FAC">
            <w:pPr>
              <w:spacing w:after="0" w:line="240" w:lineRule="auto"/>
              <w:jc w:val="right"/>
              <w:rPr>
                <w:rFonts w:ascii="Arial Narrow" w:eastAsia="Times New Roman" w:hAnsi="Arial Narrow" w:cs="Times New Roman"/>
                <w:b/>
                <w:bCs/>
                <w:color w:val="FFFFFF"/>
                <w:sz w:val="18"/>
                <w:lang w:eastAsia="en-AU"/>
              </w:rPr>
            </w:pPr>
            <w:r w:rsidRPr="00337438">
              <w:rPr>
                <w:rFonts w:ascii="Arial Narrow" w:eastAsia="Times New Roman" w:hAnsi="Arial Narrow" w:cs="Times New Roman"/>
                <w:b/>
                <w:bCs/>
                <w:color w:val="FFFFFF"/>
                <w:sz w:val="18"/>
                <w:lang w:eastAsia="en-AU"/>
              </w:rPr>
              <w:t>$11,014,690</w:t>
            </w:r>
          </w:p>
        </w:tc>
        <w:tc>
          <w:tcPr>
            <w:tcW w:w="1421" w:type="dxa"/>
            <w:tcBorders>
              <w:top w:val="nil"/>
              <w:left w:val="nil"/>
              <w:bottom w:val="single" w:sz="8" w:space="0" w:color="auto"/>
              <w:right w:val="single" w:sz="8" w:space="0" w:color="auto"/>
            </w:tcBorders>
            <w:shd w:val="clear" w:color="000000" w:fill="000000"/>
            <w:noWrap/>
            <w:vAlign w:val="bottom"/>
            <w:hideMark/>
          </w:tcPr>
          <w:p w:rsidR="00D02973" w:rsidRPr="00337438" w:rsidRDefault="00D02973" w:rsidP="00DF2FAC">
            <w:pPr>
              <w:spacing w:after="0" w:line="240" w:lineRule="auto"/>
              <w:jc w:val="right"/>
              <w:rPr>
                <w:rFonts w:ascii="Arial Narrow" w:eastAsia="Times New Roman" w:hAnsi="Arial Narrow" w:cs="Times New Roman"/>
                <w:b/>
                <w:bCs/>
                <w:color w:val="FFFFFF"/>
                <w:sz w:val="18"/>
                <w:lang w:eastAsia="en-AU"/>
              </w:rPr>
            </w:pPr>
            <w:r w:rsidRPr="00337438">
              <w:rPr>
                <w:rFonts w:ascii="Arial Narrow" w:eastAsia="Times New Roman" w:hAnsi="Arial Narrow" w:cs="Times New Roman"/>
                <w:b/>
                <w:bCs/>
                <w:color w:val="FFFFFF"/>
                <w:sz w:val="18"/>
                <w:lang w:eastAsia="en-AU"/>
              </w:rPr>
              <w:t>$11,345,131</w:t>
            </w:r>
          </w:p>
        </w:tc>
        <w:tc>
          <w:tcPr>
            <w:tcW w:w="1421" w:type="dxa"/>
            <w:tcBorders>
              <w:top w:val="nil"/>
              <w:left w:val="nil"/>
              <w:bottom w:val="single" w:sz="8" w:space="0" w:color="auto"/>
              <w:right w:val="single" w:sz="8" w:space="0" w:color="auto"/>
            </w:tcBorders>
            <w:shd w:val="clear" w:color="000000" w:fill="000000"/>
            <w:noWrap/>
            <w:vAlign w:val="bottom"/>
            <w:hideMark/>
          </w:tcPr>
          <w:p w:rsidR="00D02973" w:rsidRPr="00337438" w:rsidRDefault="00D02973" w:rsidP="00DF2FAC">
            <w:pPr>
              <w:spacing w:after="0" w:line="240" w:lineRule="auto"/>
              <w:jc w:val="right"/>
              <w:rPr>
                <w:rFonts w:ascii="Arial Narrow" w:eastAsia="Times New Roman" w:hAnsi="Arial Narrow" w:cs="Times New Roman"/>
                <w:b/>
                <w:bCs/>
                <w:color w:val="FFFFFF"/>
                <w:sz w:val="18"/>
                <w:lang w:eastAsia="en-AU"/>
              </w:rPr>
            </w:pPr>
            <w:r w:rsidRPr="00337438">
              <w:rPr>
                <w:rFonts w:ascii="Arial Narrow" w:eastAsia="Times New Roman" w:hAnsi="Arial Narrow" w:cs="Times New Roman"/>
                <w:b/>
                <w:bCs/>
                <w:color w:val="FFFFFF"/>
                <w:sz w:val="18"/>
                <w:lang w:eastAsia="en-AU"/>
              </w:rPr>
              <w:t>$11,685,485</w:t>
            </w:r>
          </w:p>
        </w:tc>
        <w:tc>
          <w:tcPr>
            <w:tcW w:w="1421" w:type="dxa"/>
            <w:tcBorders>
              <w:top w:val="nil"/>
              <w:left w:val="nil"/>
              <w:bottom w:val="single" w:sz="8" w:space="0" w:color="auto"/>
              <w:right w:val="single" w:sz="8" w:space="0" w:color="auto"/>
            </w:tcBorders>
            <w:shd w:val="clear" w:color="000000" w:fill="000000"/>
            <w:noWrap/>
            <w:vAlign w:val="bottom"/>
            <w:hideMark/>
          </w:tcPr>
          <w:p w:rsidR="00D02973" w:rsidRPr="00337438" w:rsidRDefault="00D02973" w:rsidP="00DF2FAC">
            <w:pPr>
              <w:spacing w:after="0" w:line="240" w:lineRule="auto"/>
              <w:jc w:val="right"/>
              <w:rPr>
                <w:rFonts w:ascii="Arial Narrow" w:eastAsia="Times New Roman" w:hAnsi="Arial Narrow" w:cs="Times New Roman"/>
                <w:b/>
                <w:bCs/>
                <w:color w:val="FFFFFF"/>
                <w:sz w:val="18"/>
                <w:lang w:eastAsia="en-AU"/>
              </w:rPr>
            </w:pPr>
            <w:r w:rsidRPr="00337438">
              <w:rPr>
                <w:rFonts w:ascii="Arial Narrow" w:eastAsia="Times New Roman" w:hAnsi="Arial Narrow" w:cs="Times New Roman"/>
                <w:b/>
                <w:bCs/>
                <w:color w:val="FFFFFF"/>
                <w:sz w:val="18"/>
                <w:lang w:eastAsia="en-AU"/>
              </w:rPr>
              <w:t>$12,036,049</w:t>
            </w:r>
          </w:p>
        </w:tc>
      </w:tr>
      <w:tr w:rsidR="00D02973" w:rsidRPr="00337438" w:rsidTr="00DF2FAC">
        <w:trPr>
          <w:gridAfter w:val="4"/>
          <w:wAfter w:w="5684" w:type="dxa"/>
          <w:trHeight w:val="60"/>
        </w:trPr>
        <w:tc>
          <w:tcPr>
            <w:tcW w:w="2724" w:type="dxa"/>
            <w:tcBorders>
              <w:top w:val="nil"/>
              <w:left w:val="nil"/>
              <w:bottom w:val="nil"/>
              <w:right w:val="nil"/>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b/>
                <w:bCs/>
                <w:color w:val="FFFFFF"/>
                <w:sz w:val="18"/>
                <w:lang w:eastAsia="en-AU"/>
              </w:rPr>
            </w:pPr>
          </w:p>
        </w:tc>
        <w:tc>
          <w:tcPr>
            <w:tcW w:w="1421" w:type="dxa"/>
            <w:tcBorders>
              <w:top w:val="nil"/>
              <w:left w:val="nil"/>
              <w:bottom w:val="nil"/>
              <w:right w:val="nil"/>
            </w:tcBorders>
            <w:shd w:val="clear" w:color="auto" w:fill="auto"/>
            <w:noWrap/>
            <w:vAlign w:val="bottom"/>
            <w:hideMark/>
          </w:tcPr>
          <w:p w:rsidR="00D02973" w:rsidRPr="00337438" w:rsidRDefault="00D02973" w:rsidP="00DF2FAC">
            <w:pPr>
              <w:spacing w:after="0" w:line="240" w:lineRule="auto"/>
              <w:rPr>
                <w:rFonts w:ascii="Times New Roman" w:eastAsia="Times New Roman" w:hAnsi="Times New Roman" w:cs="Times New Roman"/>
                <w:sz w:val="18"/>
                <w:szCs w:val="20"/>
                <w:lang w:eastAsia="en-AU"/>
              </w:rPr>
            </w:pPr>
          </w:p>
        </w:tc>
      </w:tr>
      <w:tr w:rsidR="00D02973" w:rsidRPr="00337438" w:rsidTr="00DF2FAC">
        <w:trPr>
          <w:gridAfter w:val="4"/>
          <w:wAfter w:w="5684" w:type="dxa"/>
          <w:trHeight w:val="80"/>
        </w:trPr>
        <w:tc>
          <w:tcPr>
            <w:tcW w:w="2724" w:type="dxa"/>
            <w:tcBorders>
              <w:top w:val="nil"/>
              <w:left w:val="nil"/>
              <w:bottom w:val="nil"/>
              <w:right w:val="nil"/>
            </w:tcBorders>
            <w:shd w:val="clear" w:color="auto" w:fill="auto"/>
            <w:noWrap/>
            <w:vAlign w:val="bottom"/>
          </w:tcPr>
          <w:p w:rsidR="00D02973" w:rsidRPr="00337438" w:rsidRDefault="00D02973" w:rsidP="00DF2FAC">
            <w:pPr>
              <w:spacing w:after="0" w:line="240" w:lineRule="auto"/>
              <w:rPr>
                <w:rFonts w:ascii="Arial Narrow" w:eastAsia="Times New Roman" w:hAnsi="Arial Narrow" w:cs="Times New Roman"/>
                <w:b/>
                <w:bCs/>
                <w:color w:val="FFFFFF"/>
                <w:sz w:val="18"/>
                <w:lang w:eastAsia="en-AU"/>
              </w:rPr>
            </w:pPr>
          </w:p>
        </w:tc>
        <w:tc>
          <w:tcPr>
            <w:tcW w:w="1421" w:type="dxa"/>
            <w:tcBorders>
              <w:top w:val="nil"/>
              <w:left w:val="nil"/>
              <w:bottom w:val="nil"/>
              <w:right w:val="nil"/>
            </w:tcBorders>
            <w:shd w:val="clear" w:color="auto" w:fill="auto"/>
            <w:noWrap/>
            <w:vAlign w:val="bottom"/>
          </w:tcPr>
          <w:p w:rsidR="00D02973" w:rsidRPr="00337438" w:rsidRDefault="00D02973" w:rsidP="00DF2FAC">
            <w:pPr>
              <w:spacing w:after="0" w:line="240" w:lineRule="auto"/>
              <w:rPr>
                <w:rFonts w:ascii="Times New Roman" w:eastAsia="Times New Roman" w:hAnsi="Times New Roman" w:cs="Times New Roman"/>
                <w:sz w:val="18"/>
                <w:szCs w:val="20"/>
                <w:lang w:eastAsia="en-AU"/>
              </w:rPr>
            </w:pPr>
          </w:p>
        </w:tc>
      </w:tr>
      <w:tr w:rsidR="00D02973" w:rsidRPr="00AD53C5" w:rsidTr="00DF2FAC">
        <w:trPr>
          <w:trHeight w:val="293"/>
        </w:trPr>
        <w:tc>
          <w:tcPr>
            <w:tcW w:w="2724" w:type="dxa"/>
            <w:tcBorders>
              <w:top w:val="nil"/>
              <w:left w:val="nil"/>
              <w:bottom w:val="nil"/>
              <w:right w:val="nil"/>
            </w:tcBorders>
            <w:shd w:val="clear" w:color="auto" w:fill="auto"/>
            <w:noWrap/>
            <w:vAlign w:val="bottom"/>
            <w:hideMark/>
          </w:tcPr>
          <w:p w:rsidR="00D02973" w:rsidRPr="00337438" w:rsidRDefault="00D02973" w:rsidP="00DF2FAC">
            <w:pPr>
              <w:spacing w:after="0" w:line="240" w:lineRule="auto"/>
              <w:rPr>
                <w:rFonts w:ascii="Times New Roman" w:eastAsia="Times New Roman" w:hAnsi="Times New Roman" w:cs="Times New Roman"/>
                <w:sz w:val="18"/>
                <w:szCs w:val="20"/>
                <w:lang w:eastAsia="en-AU"/>
              </w:rPr>
            </w:pPr>
          </w:p>
        </w:tc>
        <w:tc>
          <w:tcPr>
            <w:tcW w:w="1421" w:type="dxa"/>
            <w:tcBorders>
              <w:top w:val="nil"/>
              <w:left w:val="nil"/>
              <w:bottom w:val="nil"/>
              <w:right w:val="nil"/>
            </w:tcBorders>
            <w:shd w:val="clear" w:color="auto" w:fill="auto"/>
            <w:noWrap/>
            <w:vAlign w:val="bottom"/>
            <w:hideMark/>
          </w:tcPr>
          <w:p w:rsidR="00D02973" w:rsidRPr="00337438" w:rsidRDefault="00D02973" w:rsidP="00DF2FAC">
            <w:pPr>
              <w:spacing w:after="0" w:line="240" w:lineRule="auto"/>
              <w:rPr>
                <w:rFonts w:ascii="Times New Roman" w:eastAsia="Times New Roman" w:hAnsi="Times New Roman" w:cs="Times New Roman"/>
                <w:sz w:val="18"/>
                <w:szCs w:val="20"/>
                <w:lang w:eastAsia="en-AU"/>
              </w:rPr>
            </w:pPr>
          </w:p>
        </w:tc>
        <w:tc>
          <w:tcPr>
            <w:tcW w:w="1421" w:type="dxa"/>
            <w:tcBorders>
              <w:top w:val="nil"/>
              <w:left w:val="nil"/>
              <w:bottom w:val="nil"/>
              <w:right w:val="nil"/>
            </w:tcBorders>
            <w:shd w:val="clear" w:color="auto" w:fill="auto"/>
            <w:noWrap/>
            <w:vAlign w:val="bottom"/>
            <w:hideMark/>
          </w:tcPr>
          <w:p w:rsidR="00D02973" w:rsidRPr="00337438" w:rsidRDefault="00D02973" w:rsidP="00DF2FAC">
            <w:pPr>
              <w:spacing w:after="0" w:line="240" w:lineRule="auto"/>
              <w:rPr>
                <w:rFonts w:ascii="Times New Roman" w:eastAsia="Times New Roman" w:hAnsi="Times New Roman" w:cs="Times New Roman"/>
                <w:sz w:val="18"/>
                <w:szCs w:val="20"/>
                <w:lang w:eastAsia="en-AU"/>
              </w:rPr>
            </w:pPr>
          </w:p>
        </w:tc>
        <w:tc>
          <w:tcPr>
            <w:tcW w:w="1421" w:type="dxa"/>
            <w:tcBorders>
              <w:top w:val="nil"/>
              <w:left w:val="nil"/>
              <w:bottom w:val="nil"/>
              <w:right w:val="nil"/>
            </w:tcBorders>
            <w:shd w:val="clear" w:color="auto" w:fill="auto"/>
            <w:noWrap/>
            <w:vAlign w:val="bottom"/>
            <w:hideMark/>
          </w:tcPr>
          <w:p w:rsidR="00D02973" w:rsidRPr="00337438" w:rsidRDefault="00D02973" w:rsidP="00DF2FAC">
            <w:pPr>
              <w:spacing w:after="0" w:line="240" w:lineRule="auto"/>
              <w:rPr>
                <w:rFonts w:ascii="Times New Roman" w:eastAsia="Times New Roman" w:hAnsi="Times New Roman" w:cs="Times New Roman"/>
                <w:sz w:val="18"/>
                <w:szCs w:val="20"/>
                <w:lang w:eastAsia="en-AU"/>
              </w:rPr>
            </w:pPr>
          </w:p>
        </w:tc>
        <w:tc>
          <w:tcPr>
            <w:tcW w:w="1421" w:type="dxa"/>
            <w:tcBorders>
              <w:top w:val="nil"/>
              <w:left w:val="nil"/>
              <w:bottom w:val="nil"/>
              <w:right w:val="nil"/>
            </w:tcBorders>
            <w:shd w:val="clear" w:color="auto" w:fill="auto"/>
            <w:noWrap/>
            <w:vAlign w:val="bottom"/>
            <w:hideMark/>
          </w:tcPr>
          <w:p w:rsidR="00D02973" w:rsidRPr="00337438" w:rsidRDefault="00D02973" w:rsidP="00DF2FAC">
            <w:pPr>
              <w:spacing w:after="0" w:line="240" w:lineRule="auto"/>
              <w:rPr>
                <w:rFonts w:ascii="Times New Roman" w:eastAsia="Times New Roman" w:hAnsi="Times New Roman" w:cs="Times New Roman"/>
                <w:sz w:val="18"/>
                <w:szCs w:val="20"/>
                <w:lang w:eastAsia="en-AU"/>
              </w:rPr>
            </w:pPr>
          </w:p>
        </w:tc>
        <w:tc>
          <w:tcPr>
            <w:tcW w:w="1421" w:type="dxa"/>
            <w:tcBorders>
              <w:top w:val="nil"/>
              <w:left w:val="nil"/>
              <w:bottom w:val="nil"/>
              <w:right w:val="nil"/>
            </w:tcBorders>
            <w:shd w:val="clear" w:color="auto" w:fill="auto"/>
            <w:noWrap/>
            <w:vAlign w:val="bottom"/>
            <w:hideMark/>
          </w:tcPr>
          <w:p w:rsidR="00D02973" w:rsidRPr="00337438" w:rsidRDefault="00D02973" w:rsidP="00DF2FAC">
            <w:pPr>
              <w:spacing w:after="0" w:line="240" w:lineRule="auto"/>
              <w:rPr>
                <w:rFonts w:ascii="Times New Roman" w:eastAsia="Times New Roman" w:hAnsi="Times New Roman" w:cs="Times New Roman"/>
                <w:sz w:val="18"/>
                <w:szCs w:val="20"/>
                <w:lang w:eastAsia="en-AU"/>
              </w:rPr>
            </w:pPr>
          </w:p>
        </w:tc>
      </w:tr>
      <w:tr w:rsidR="00D02973" w:rsidRPr="00AD53C5" w:rsidTr="00DF2FAC">
        <w:trPr>
          <w:trHeight w:val="321"/>
        </w:trPr>
        <w:tc>
          <w:tcPr>
            <w:tcW w:w="2724" w:type="dxa"/>
            <w:tcBorders>
              <w:top w:val="single" w:sz="8" w:space="0" w:color="auto"/>
              <w:left w:val="single" w:sz="8" w:space="0" w:color="auto"/>
              <w:bottom w:val="single" w:sz="8" w:space="0" w:color="auto"/>
              <w:right w:val="single" w:sz="8" w:space="0" w:color="auto"/>
            </w:tcBorders>
            <w:shd w:val="clear" w:color="000000" w:fill="000000"/>
            <w:noWrap/>
            <w:hideMark/>
          </w:tcPr>
          <w:p w:rsidR="00D02973" w:rsidRPr="00337438" w:rsidRDefault="00D02973" w:rsidP="00DF2FAC">
            <w:pPr>
              <w:spacing w:after="0" w:line="240" w:lineRule="auto"/>
              <w:rPr>
                <w:rFonts w:ascii="Arial Narrow" w:eastAsia="Times New Roman" w:hAnsi="Arial Narrow" w:cs="Times New Roman"/>
                <w:color w:val="FFFFFF"/>
                <w:sz w:val="18"/>
                <w:lang w:eastAsia="en-AU"/>
              </w:rPr>
            </w:pPr>
            <w:r w:rsidRPr="00337438">
              <w:rPr>
                <w:rFonts w:ascii="Arial Narrow" w:eastAsia="Times New Roman" w:hAnsi="Arial Narrow" w:cs="Times New Roman"/>
                <w:color w:val="FFFFFF"/>
                <w:sz w:val="18"/>
                <w:lang w:eastAsia="en-AU"/>
              </w:rPr>
              <w:t>Maintenance Activity</w:t>
            </w:r>
          </w:p>
        </w:tc>
        <w:tc>
          <w:tcPr>
            <w:tcW w:w="1421" w:type="dxa"/>
            <w:tcBorders>
              <w:top w:val="single" w:sz="8" w:space="0" w:color="auto"/>
              <w:left w:val="nil"/>
              <w:bottom w:val="single" w:sz="8" w:space="0" w:color="auto"/>
              <w:right w:val="single" w:sz="8" w:space="0" w:color="auto"/>
            </w:tcBorders>
            <w:shd w:val="clear" w:color="000000" w:fill="000000"/>
            <w:noWrap/>
            <w:hideMark/>
          </w:tcPr>
          <w:p w:rsidR="00D02973" w:rsidRPr="00337438" w:rsidRDefault="00D02973" w:rsidP="00DF2FAC">
            <w:pPr>
              <w:spacing w:after="0" w:line="240" w:lineRule="auto"/>
              <w:jc w:val="right"/>
              <w:rPr>
                <w:rFonts w:ascii="Arial Narrow" w:eastAsia="Times New Roman" w:hAnsi="Arial Narrow" w:cs="Times New Roman"/>
                <w:color w:val="FFFFFF"/>
                <w:sz w:val="18"/>
                <w:lang w:eastAsia="en-AU"/>
              </w:rPr>
            </w:pPr>
            <w:r w:rsidRPr="00337438">
              <w:rPr>
                <w:rFonts w:ascii="Arial Narrow" w:eastAsia="Times New Roman" w:hAnsi="Arial Narrow" w:cs="Times New Roman"/>
                <w:color w:val="FFFFFF"/>
                <w:sz w:val="18"/>
                <w:lang w:eastAsia="en-AU"/>
              </w:rPr>
              <w:t>2020/21</w:t>
            </w:r>
          </w:p>
        </w:tc>
        <w:tc>
          <w:tcPr>
            <w:tcW w:w="1421" w:type="dxa"/>
            <w:tcBorders>
              <w:top w:val="single" w:sz="8" w:space="0" w:color="auto"/>
              <w:left w:val="nil"/>
              <w:bottom w:val="single" w:sz="8" w:space="0" w:color="auto"/>
              <w:right w:val="single" w:sz="8" w:space="0" w:color="auto"/>
            </w:tcBorders>
            <w:shd w:val="clear" w:color="000000" w:fill="000000"/>
            <w:noWrap/>
            <w:hideMark/>
          </w:tcPr>
          <w:p w:rsidR="00D02973" w:rsidRPr="00337438" w:rsidRDefault="00D02973" w:rsidP="00DF2FAC">
            <w:pPr>
              <w:spacing w:after="0" w:line="240" w:lineRule="auto"/>
              <w:jc w:val="right"/>
              <w:rPr>
                <w:rFonts w:ascii="Arial Narrow" w:eastAsia="Times New Roman" w:hAnsi="Arial Narrow" w:cs="Times New Roman"/>
                <w:color w:val="FFFFFF"/>
                <w:sz w:val="18"/>
                <w:lang w:eastAsia="en-AU"/>
              </w:rPr>
            </w:pPr>
            <w:r w:rsidRPr="00337438">
              <w:rPr>
                <w:rFonts w:ascii="Arial Narrow" w:eastAsia="Times New Roman" w:hAnsi="Arial Narrow" w:cs="Times New Roman"/>
                <w:color w:val="FFFFFF"/>
                <w:sz w:val="18"/>
                <w:lang w:eastAsia="en-AU"/>
              </w:rPr>
              <w:t>2021/22</w:t>
            </w:r>
          </w:p>
        </w:tc>
        <w:tc>
          <w:tcPr>
            <w:tcW w:w="1421" w:type="dxa"/>
            <w:tcBorders>
              <w:top w:val="single" w:sz="8" w:space="0" w:color="auto"/>
              <w:left w:val="nil"/>
              <w:bottom w:val="single" w:sz="8" w:space="0" w:color="auto"/>
              <w:right w:val="single" w:sz="8" w:space="0" w:color="auto"/>
            </w:tcBorders>
            <w:shd w:val="clear" w:color="000000" w:fill="000000"/>
            <w:noWrap/>
            <w:hideMark/>
          </w:tcPr>
          <w:p w:rsidR="00D02973" w:rsidRPr="00337438" w:rsidRDefault="00D02973" w:rsidP="00DF2FAC">
            <w:pPr>
              <w:spacing w:after="0" w:line="240" w:lineRule="auto"/>
              <w:jc w:val="right"/>
              <w:rPr>
                <w:rFonts w:ascii="Arial Narrow" w:eastAsia="Times New Roman" w:hAnsi="Arial Narrow" w:cs="Times New Roman"/>
                <w:color w:val="FFFFFF"/>
                <w:sz w:val="18"/>
                <w:lang w:eastAsia="en-AU"/>
              </w:rPr>
            </w:pPr>
            <w:r w:rsidRPr="00337438">
              <w:rPr>
                <w:rFonts w:ascii="Arial Narrow" w:eastAsia="Times New Roman" w:hAnsi="Arial Narrow" w:cs="Times New Roman"/>
                <w:color w:val="FFFFFF"/>
                <w:sz w:val="18"/>
                <w:lang w:eastAsia="en-AU"/>
              </w:rPr>
              <w:t>2022/23</w:t>
            </w:r>
          </w:p>
        </w:tc>
        <w:tc>
          <w:tcPr>
            <w:tcW w:w="1421" w:type="dxa"/>
            <w:tcBorders>
              <w:top w:val="single" w:sz="8" w:space="0" w:color="auto"/>
              <w:left w:val="nil"/>
              <w:bottom w:val="single" w:sz="8" w:space="0" w:color="auto"/>
              <w:right w:val="single" w:sz="8" w:space="0" w:color="auto"/>
            </w:tcBorders>
            <w:shd w:val="clear" w:color="000000" w:fill="000000"/>
            <w:noWrap/>
            <w:hideMark/>
          </w:tcPr>
          <w:p w:rsidR="00D02973" w:rsidRPr="00337438" w:rsidRDefault="00D02973" w:rsidP="00DF2FAC">
            <w:pPr>
              <w:spacing w:after="0" w:line="240" w:lineRule="auto"/>
              <w:jc w:val="right"/>
              <w:rPr>
                <w:rFonts w:ascii="Arial Narrow" w:eastAsia="Times New Roman" w:hAnsi="Arial Narrow" w:cs="Times New Roman"/>
                <w:color w:val="FFFFFF"/>
                <w:sz w:val="18"/>
                <w:lang w:eastAsia="en-AU"/>
              </w:rPr>
            </w:pPr>
            <w:r w:rsidRPr="00337438">
              <w:rPr>
                <w:rFonts w:ascii="Arial Narrow" w:eastAsia="Times New Roman" w:hAnsi="Arial Narrow" w:cs="Times New Roman"/>
                <w:color w:val="FFFFFF"/>
                <w:sz w:val="18"/>
                <w:lang w:eastAsia="en-AU"/>
              </w:rPr>
              <w:t>2023/24</w:t>
            </w:r>
          </w:p>
        </w:tc>
        <w:tc>
          <w:tcPr>
            <w:tcW w:w="1421" w:type="dxa"/>
            <w:tcBorders>
              <w:top w:val="single" w:sz="8" w:space="0" w:color="auto"/>
              <w:left w:val="nil"/>
              <w:bottom w:val="single" w:sz="8" w:space="0" w:color="auto"/>
              <w:right w:val="single" w:sz="8" w:space="0" w:color="auto"/>
            </w:tcBorders>
            <w:shd w:val="clear" w:color="000000" w:fill="000000"/>
            <w:noWrap/>
            <w:hideMark/>
          </w:tcPr>
          <w:p w:rsidR="00D02973" w:rsidRPr="00337438" w:rsidRDefault="00D02973" w:rsidP="00DF2FAC">
            <w:pPr>
              <w:spacing w:after="0" w:line="240" w:lineRule="auto"/>
              <w:jc w:val="right"/>
              <w:rPr>
                <w:rFonts w:ascii="Arial Narrow" w:eastAsia="Times New Roman" w:hAnsi="Arial Narrow" w:cs="Times New Roman"/>
                <w:color w:val="FFFFFF"/>
                <w:sz w:val="18"/>
                <w:lang w:eastAsia="en-AU"/>
              </w:rPr>
            </w:pPr>
            <w:r w:rsidRPr="00337438">
              <w:rPr>
                <w:rFonts w:ascii="Arial Narrow" w:eastAsia="Times New Roman" w:hAnsi="Arial Narrow" w:cs="Times New Roman"/>
                <w:color w:val="FFFFFF"/>
                <w:sz w:val="18"/>
                <w:lang w:eastAsia="en-AU"/>
              </w:rPr>
              <w:t>2024/25</w:t>
            </w:r>
          </w:p>
        </w:tc>
      </w:tr>
      <w:tr w:rsidR="00D02973" w:rsidRPr="00AD53C5" w:rsidTr="00DF2FAC">
        <w:trPr>
          <w:trHeight w:val="321"/>
        </w:trPr>
        <w:tc>
          <w:tcPr>
            <w:tcW w:w="2724" w:type="dxa"/>
            <w:tcBorders>
              <w:top w:val="nil"/>
              <w:left w:val="single" w:sz="8" w:space="0" w:color="auto"/>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Open Space Management</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$1,893,668.40</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$1,950,478.46</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$2,008,992.81</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$2,069,262.59</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$2,131,340.47</w:t>
            </w:r>
          </w:p>
        </w:tc>
      </w:tr>
      <w:tr w:rsidR="00D02973" w:rsidRPr="00AD53C5" w:rsidTr="00DF2FAC">
        <w:trPr>
          <w:trHeight w:val="321"/>
        </w:trPr>
        <w:tc>
          <w:tcPr>
            <w:tcW w:w="2724" w:type="dxa"/>
            <w:tcBorders>
              <w:top w:val="nil"/>
              <w:left w:val="single" w:sz="8" w:space="0" w:color="auto"/>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Bushland and Foreshore</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$1,098,987.19</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$1,131,956.80</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$1,165,915.50</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$1,200,892.97</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$1,236,919.76</w:t>
            </w:r>
          </w:p>
        </w:tc>
      </w:tr>
      <w:tr w:rsidR="00D02973" w:rsidRPr="00AD53C5" w:rsidTr="00DF2FAC">
        <w:trPr>
          <w:trHeight w:val="321"/>
        </w:trPr>
        <w:tc>
          <w:tcPr>
            <w:tcW w:w="2724" w:type="dxa"/>
            <w:tcBorders>
              <w:top w:val="nil"/>
              <w:left w:val="single" w:sz="8" w:space="0" w:color="auto"/>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Amenities and Beach Cleaning</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$1,524,753.77</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$1,570,496.39</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$1,617,611.28</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$1,666,139.62</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$1,716,123.81</w:t>
            </w:r>
          </w:p>
        </w:tc>
      </w:tr>
      <w:tr w:rsidR="00D02973" w:rsidRPr="00AD53C5" w:rsidTr="00DF2FAC">
        <w:trPr>
          <w:trHeight w:val="321"/>
        </w:trPr>
        <w:tc>
          <w:tcPr>
            <w:tcW w:w="2724" w:type="dxa"/>
            <w:tcBorders>
              <w:top w:val="nil"/>
              <w:left w:val="single" w:sz="8" w:space="0" w:color="auto"/>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Horticulture</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$1,342,789.48</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$1,383,073.16</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$1,424,565.36</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$1,467,302.32</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$1,511,321.39</w:t>
            </w:r>
          </w:p>
        </w:tc>
      </w:tr>
      <w:tr w:rsidR="00D02973" w:rsidRPr="00AD53C5" w:rsidTr="00DF2FAC">
        <w:trPr>
          <w:trHeight w:val="321"/>
        </w:trPr>
        <w:tc>
          <w:tcPr>
            <w:tcW w:w="2724" w:type="dxa"/>
            <w:tcBorders>
              <w:top w:val="nil"/>
              <w:left w:val="single" w:sz="8" w:space="0" w:color="auto"/>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Environmental Sustainability</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$516,749.90</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$532,252.39</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$548,219.97</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$564,666.56</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$581,606.56</w:t>
            </w:r>
          </w:p>
        </w:tc>
      </w:tr>
      <w:tr w:rsidR="00D02973" w:rsidRPr="00AD53C5" w:rsidTr="00DF2FAC">
        <w:trPr>
          <w:trHeight w:val="321"/>
        </w:trPr>
        <w:tc>
          <w:tcPr>
            <w:tcW w:w="2724" w:type="dxa"/>
            <w:tcBorders>
              <w:top w:val="nil"/>
              <w:left w:val="single" w:sz="8" w:space="0" w:color="auto"/>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Infrastructure</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$1,183,435.66</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$1,218,938.73</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$1,255,506.90</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$1,293,172.10</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$1,331,967.27</w:t>
            </w:r>
          </w:p>
        </w:tc>
      </w:tr>
      <w:tr w:rsidR="00D02973" w:rsidRPr="00AD53C5" w:rsidTr="00DF2FAC">
        <w:trPr>
          <w:trHeight w:val="321"/>
        </w:trPr>
        <w:tc>
          <w:tcPr>
            <w:tcW w:w="2724" w:type="dxa"/>
            <w:tcBorders>
              <w:top w:val="nil"/>
              <w:left w:val="single" w:sz="8" w:space="0" w:color="auto"/>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Sports grounds/Turf</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$1,862,980.10</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$1,918,869.50</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$1,976,435.59</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$2,035,728.66</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$2,096,800.52</w:t>
            </w:r>
          </w:p>
        </w:tc>
      </w:tr>
      <w:tr w:rsidR="00D02973" w:rsidRPr="00AD53C5" w:rsidTr="00DF2FAC">
        <w:trPr>
          <w:trHeight w:val="321"/>
        </w:trPr>
        <w:tc>
          <w:tcPr>
            <w:tcW w:w="2724" w:type="dxa"/>
            <w:tcBorders>
              <w:top w:val="nil"/>
              <w:left w:val="single" w:sz="8" w:space="0" w:color="auto"/>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Nursery(after sales cost)</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$112,257.15</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$115,624.86</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$119,093.61</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$122,666.41</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$126,346.41</w:t>
            </w:r>
          </w:p>
        </w:tc>
      </w:tr>
      <w:tr w:rsidR="00D02973" w:rsidRPr="00AD53C5" w:rsidTr="00DF2FAC">
        <w:trPr>
          <w:trHeight w:val="321"/>
        </w:trPr>
        <w:tc>
          <w:tcPr>
            <w:tcW w:w="2724" w:type="dxa"/>
            <w:tcBorders>
              <w:top w:val="nil"/>
              <w:left w:val="single" w:sz="8" w:space="0" w:color="auto"/>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Trees (street/park)</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$2,136,118.98</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$2,200,202.55</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$2,266,208.63</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$2,334,194.89</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$2,404,220.74</w:t>
            </w:r>
          </w:p>
        </w:tc>
      </w:tr>
      <w:tr w:rsidR="00D02973" w:rsidRPr="00AD53C5" w:rsidTr="00DF2FAC">
        <w:trPr>
          <w:trHeight w:val="321"/>
        </w:trPr>
        <w:tc>
          <w:tcPr>
            <w:tcW w:w="2724" w:type="dxa"/>
            <w:tcBorders>
              <w:top w:val="nil"/>
              <w:left w:val="single" w:sz="8" w:space="0" w:color="auto"/>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Tree Planting</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$551,499.14</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$568,044.11</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$585,085.43</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$602,638.00</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$620,717.14</w:t>
            </w:r>
          </w:p>
        </w:tc>
      </w:tr>
      <w:tr w:rsidR="00D02973" w:rsidRPr="00AD53C5" w:rsidTr="00DF2FAC">
        <w:trPr>
          <w:trHeight w:val="321"/>
        </w:trPr>
        <w:tc>
          <w:tcPr>
            <w:tcW w:w="2724" w:type="dxa"/>
            <w:tcBorders>
              <w:top w:val="nil"/>
              <w:left w:val="single" w:sz="8" w:space="0" w:color="auto"/>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New approaches weed control</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$173,891.11</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$179,107.84</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$184,481.08</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$190,015.51</w:t>
            </w:r>
          </w:p>
        </w:tc>
        <w:tc>
          <w:tcPr>
            <w:tcW w:w="1421" w:type="dxa"/>
            <w:tcBorders>
              <w:top w:val="nil"/>
              <w:left w:val="nil"/>
              <w:bottom w:val="single" w:sz="8" w:space="0" w:color="auto"/>
              <w:right w:val="single" w:sz="8" w:space="0" w:color="auto"/>
            </w:tcBorders>
            <w:shd w:val="clear" w:color="auto" w:fill="auto"/>
            <w:noWrap/>
            <w:vAlign w:val="bottom"/>
            <w:hideMark/>
          </w:tcPr>
          <w:p w:rsidR="00D02973" w:rsidRPr="00337438" w:rsidRDefault="00D02973" w:rsidP="00DF2FAC">
            <w:pPr>
              <w:spacing w:after="0" w:line="240" w:lineRule="auto"/>
              <w:jc w:val="right"/>
              <w:rPr>
                <w:rFonts w:ascii="Arial Narrow" w:eastAsia="Times New Roman" w:hAnsi="Arial Narrow" w:cs="Times New Roman"/>
                <w:color w:val="000000"/>
                <w:sz w:val="18"/>
                <w:lang w:eastAsia="en-AU"/>
              </w:rPr>
            </w:pPr>
            <w:r w:rsidRPr="00337438">
              <w:rPr>
                <w:rFonts w:ascii="Arial Narrow" w:eastAsia="Times New Roman" w:hAnsi="Arial Narrow" w:cs="Times New Roman"/>
                <w:color w:val="000000"/>
                <w:sz w:val="18"/>
                <w:lang w:eastAsia="en-AU"/>
              </w:rPr>
              <w:t>$195,715.98</w:t>
            </w:r>
          </w:p>
        </w:tc>
      </w:tr>
      <w:tr w:rsidR="00D02973" w:rsidRPr="00AD53C5" w:rsidTr="00DF2FAC">
        <w:trPr>
          <w:trHeight w:val="321"/>
        </w:trPr>
        <w:tc>
          <w:tcPr>
            <w:tcW w:w="2724" w:type="dxa"/>
            <w:tcBorders>
              <w:top w:val="nil"/>
              <w:left w:val="single" w:sz="8" w:space="0" w:color="auto"/>
              <w:bottom w:val="single" w:sz="8" w:space="0" w:color="auto"/>
              <w:right w:val="single" w:sz="8" w:space="0" w:color="auto"/>
            </w:tcBorders>
            <w:shd w:val="clear" w:color="000000" w:fill="000000"/>
            <w:noWrap/>
            <w:vAlign w:val="bottom"/>
            <w:hideMark/>
          </w:tcPr>
          <w:p w:rsidR="00D02973" w:rsidRPr="00337438" w:rsidRDefault="00D02973" w:rsidP="00DF2FAC">
            <w:pPr>
              <w:spacing w:after="0" w:line="240" w:lineRule="auto"/>
              <w:jc w:val="right"/>
              <w:rPr>
                <w:rFonts w:ascii="Arial Narrow" w:eastAsia="Times New Roman" w:hAnsi="Arial Narrow" w:cs="Times New Roman"/>
                <w:b/>
                <w:bCs/>
                <w:color w:val="FFFFFF"/>
                <w:sz w:val="18"/>
                <w:lang w:eastAsia="en-AU"/>
              </w:rPr>
            </w:pPr>
            <w:r w:rsidRPr="00337438">
              <w:rPr>
                <w:rFonts w:ascii="Arial Narrow" w:eastAsia="Times New Roman" w:hAnsi="Arial Narrow" w:cs="Times New Roman"/>
                <w:b/>
                <w:bCs/>
                <w:color w:val="FFFFFF"/>
                <w:sz w:val="18"/>
                <w:lang w:eastAsia="en-AU"/>
              </w:rPr>
              <w:t>TOTAL</w:t>
            </w:r>
          </w:p>
        </w:tc>
        <w:tc>
          <w:tcPr>
            <w:tcW w:w="1421" w:type="dxa"/>
            <w:tcBorders>
              <w:top w:val="nil"/>
              <w:left w:val="nil"/>
              <w:bottom w:val="single" w:sz="8" w:space="0" w:color="auto"/>
              <w:right w:val="single" w:sz="8" w:space="0" w:color="auto"/>
            </w:tcBorders>
            <w:shd w:val="clear" w:color="000000" w:fill="000000"/>
            <w:noWrap/>
            <w:vAlign w:val="bottom"/>
            <w:hideMark/>
          </w:tcPr>
          <w:p w:rsidR="00D02973" w:rsidRPr="00337438" w:rsidRDefault="00D02973" w:rsidP="00DF2FAC">
            <w:pPr>
              <w:spacing w:after="0" w:line="240" w:lineRule="auto"/>
              <w:jc w:val="right"/>
              <w:rPr>
                <w:rFonts w:ascii="Arial Narrow" w:eastAsia="Times New Roman" w:hAnsi="Arial Narrow" w:cs="Times New Roman"/>
                <w:b/>
                <w:bCs/>
                <w:color w:val="FFFFFF"/>
                <w:sz w:val="18"/>
                <w:lang w:eastAsia="en-AU"/>
              </w:rPr>
            </w:pPr>
            <w:r w:rsidRPr="00337438">
              <w:rPr>
                <w:rFonts w:ascii="Arial Narrow" w:eastAsia="Times New Roman" w:hAnsi="Arial Narrow" w:cs="Times New Roman"/>
                <w:b/>
                <w:bCs/>
                <w:color w:val="FFFFFF"/>
                <w:sz w:val="18"/>
                <w:lang w:eastAsia="en-AU"/>
              </w:rPr>
              <w:t>$12,397,131</w:t>
            </w:r>
          </w:p>
        </w:tc>
        <w:tc>
          <w:tcPr>
            <w:tcW w:w="1421" w:type="dxa"/>
            <w:tcBorders>
              <w:top w:val="nil"/>
              <w:left w:val="nil"/>
              <w:bottom w:val="single" w:sz="8" w:space="0" w:color="auto"/>
              <w:right w:val="single" w:sz="8" w:space="0" w:color="auto"/>
            </w:tcBorders>
            <w:shd w:val="clear" w:color="000000" w:fill="000000"/>
            <w:noWrap/>
            <w:vAlign w:val="bottom"/>
            <w:hideMark/>
          </w:tcPr>
          <w:p w:rsidR="00D02973" w:rsidRPr="00337438" w:rsidRDefault="00D02973" w:rsidP="00DF2FAC">
            <w:pPr>
              <w:spacing w:after="0" w:line="240" w:lineRule="auto"/>
              <w:jc w:val="right"/>
              <w:rPr>
                <w:rFonts w:ascii="Arial Narrow" w:eastAsia="Times New Roman" w:hAnsi="Arial Narrow" w:cs="Times New Roman"/>
                <w:b/>
                <w:bCs/>
                <w:color w:val="FFFFFF"/>
                <w:sz w:val="18"/>
                <w:lang w:eastAsia="en-AU"/>
              </w:rPr>
            </w:pPr>
            <w:r w:rsidRPr="00337438">
              <w:rPr>
                <w:rFonts w:ascii="Arial Narrow" w:eastAsia="Times New Roman" w:hAnsi="Arial Narrow" w:cs="Times New Roman"/>
                <w:b/>
                <w:bCs/>
                <w:color w:val="FFFFFF"/>
                <w:sz w:val="18"/>
                <w:lang w:eastAsia="en-AU"/>
              </w:rPr>
              <w:t>$12,769,045</w:t>
            </w:r>
          </w:p>
        </w:tc>
        <w:tc>
          <w:tcPr>
            <w:tcW w:w="1421" w:type="dxa"/>
            <w:tcBorders>
              <w:top w:val="nil"/>
              <w:left w:val="nil"/>
              <w:bottom w:val="single" w:sz="8" w:space="0" w:color="auto"/>
              <w:right w:val="single" w:sz="8" w:space="0" w:color="auto"/>
            </w:tcBorders>
            <w:shd w:val="clear" w:color="000000" w:fill="000000"/>
            <w:noWrap/>
            <w:vAlign w:val="bottom"/>
            <w:hideMark/>
          </w:tcPr>
          <w:p w:rsidR="00D02973" w:rsidRPr="00337438" w:rsidRDefault="00D02973" w:rsidP="00DF2FAC">
            <w:pPr>
              <w:spacing w:after="0" w:line="240" w:lineRule="auto"/>
              <w:jc w:val="right"/>
              <w:rPr>
                <w:rFonts w:ascii="Arial Narrow" w:eastAsia="Times New Roman" w:hAnsi="Arial Narrow" w:cs="Times New Roman"/>
                <w:b/>
                <w:bCs/>
                <w:color w:val="FFFFFF"/>
                <w:sz w:val="18"/>
                <w:lang w:eastAsia="en-AU"/>
              </w:rPr>
            </w:pPr>
            <w:r w:rsidRPr="00337438">
              <w:rPr>
                <w:rFonts w:ascii="Arial Narrow" w:eastAsia="Times New Roman" w:hAnsi="Arial Narrow" w:cs="Times New Roman"/>
                <w:b/>
                <w:bCs/>
                <w:color w:val="FFFFFF"/>
                <w:sz w:val="18"/>
                <w:lang w:eastAsia="en-AU"/>
              </w:rPr>
              <w:t>$13,152,116</w:t>
            </w:r>
          </w:p>
        </w:tc>
        <w:tc>
          <w:tcPr>
            <w:tcW w:w="1421" w:type="dxa"/>
            <w:tcBorders>
              <w:top w:val="nil"/>
              <w:left w:val="nil"/>
              <w:bottom w:val="single" w:sz="8" w:space="0" w:color="auto"/>
              <w:right w:val="single" w:sz="8" w:space="0" w:color="auto"/>
            </w:tcBorders>
            <w:shd w:val="clear" w:color="000000" w:fill="000000"/>
            <w:noWrap/>
            <w:vAlign w:val="bottom"/>
            <w:hideMark/>
          </w:tcPr>
          <w:p w:rsidR="00D02973" w:rsidRPr="00337438" w:rsidRDefault="00D02973" w:rsidP="00DF2FAC">
            <w:pPr>
              <w:spacing w:after="0" w:line="240" w:lineRule="auto"/>
              <w:jc w:val="right"/>
              <w:rPr>
                <w:rFonts w:ascii="Arial Narrow" w:eastAsia="Times New Roman" w:hAnsi="Arial Narrow" w:cs="Times New Roman"/>
                <w:b/>
                <w:bCs/>
                <w:color w:val="FFFFFF"/>
                <w:sz w:val="18"/>
                <w:lang w:eastAsia="en-AU"/>
              </w:rPr>
            </w:pPr>
            <w:r w:rsidRPr="00337438">
              <w:rPr>
                <w:rFonts w:ascii="Arial Narrow" w:eastAsia="Times New Roman" w:hAnsi="Arial Narrow" w:cs="Times New Roman"/>
                <w:b/>
                <w:bCs/>
                <w:color w:val="FFFFFF"/>
                <w:sz w:val="18"/>
                <w:lang w:eastAsia="en-AU"/>
              </w:rPr>
              <w:t>$13,546,680</w:t>
            </w:r>
          </w:p>
        </w:tc>
        <w:tc>
          <w:tcPr>
            <w:tcW w:w="1421" w:type="dxa"/>
            <w:tcBorders>
              <w:top w:val="nil"/>
              <w:left w:val="nil"/>
              <w:bottom w:val="single" w:sz="8" w:space="0" w:color="auto"/>
              <w:right w:val="single" w:sz="8" w:space="0" w:color="auto"/>
            </w:tcBorders>
            <w:shd w:val="clear" w:color="000000" w:fill="000000"/>
            <w:noWrap/>
            <w:vAlign w:val="bottom"/>
            <w:hideMark/>
          </w:tcPr>
          <w:p w:rsidR="00D02973" w:rsidRPr="00337438" w:rsidRDefault="00D02973" w:rsidP="00DF2FAC">
            <w:pPr>
              <w:spacing w:after="0" w:line="240" w:lineRule="auto"/>
              <w:jc w:val="right"/>
              <w:rPr>
                <w:rFonts w:ascii="Arial Narrow" w:eastAsia="Times New Roman" w:hAnsi="Arial Narrow" w:cs="Times New Roman"/>
                <w:b/>
                <w:bCs/>
                <w:color w:val="FFFFFF"/>
                <w:sz w:val="18"/>
                <w:lang w:eastAsia="en-AU"/>
              </w:rPr>
            </w:pPr>
            <w:r w:rsidRPr="00337438">
              <w:rPr>
                <w:rFonts w:ascii="Arial Narrow" w:eastAsia="Times New Roman" w:hAnsi="Arial Narrow" w:cs="Times New Roman"/>
                <w:b/>
                <w:bCs/>
                <w:color w:val="FFFFFF"/>
                <w:sz w:val="18"/>
                <w:lang w:eastAsia="en-AU"/>
              </w:rPr>
              <w:t>$13,953,080</w:t>
            </w:r>
          </w:p>
        </w:tc>
      </w:tr>
    </w:tbl>
    <w:p w:rsidR="00D02973" w:rsidRPr="00EA2F26" w:rsidRDefault="00D02973" w:rsidP="00D02973">
      <w:pPr>
        <w:jc w:val="both"/>
      </w:pPr>
    </w:p>
    <w:p w:rsidR="00D02973" w:rsidRPr="00EA2F26" w:rsidRDefault="00D02973" w:rsidP="00D02973">
      <w:pPr>
        <w:pStyle w:val="Heading3"/>
        <w:spacing w:after="200"/>
        <w:rPr>
          <w:rFonts w:asciiTheme="minorHAnsi" w:hAnsiTheme="minorHAnsi"/>
          <w:color w:val="808080" w:themeColor="background1" w:themeShade="80"/>
        </w:rPr>
      </w:pPr>
      <w:bookmarkStart w:id="68" w:name="_Toc448475219"/>
      <w:r w:rsidRPr="00EA2F26">
        <w:rPr>
          <w:rFonts w:asciiTheme="minorHAnsi" w:hAnsiTheme="minorHAnsi"/>
          <w:color w:val="808080" w:themeColor="background1" w:themeShade="80"/>
        </w:rPr>
        <w:t xml:space="preserve">5.1.2 </w:t>
      </w:r>
      <w:r w:rsidRPr="00EA2F26">
        <w:rPr>
          <w:rFonts w:asciiTheme="minorHAnsi" w:hAnsiTheme="minorHAnsi"/>
          <w:color w:val="808080" w:themeColor="background1" w:themeShade="80"/>
        </w:rPr>
        <w:tab/>
        <w:t>Capital Expenditure</w:t>
      </w:r>
      <w:bookmarkEnd w:id="68"/>
    </w:p>
    <w:p w:rsidR="00D02973" w:rsidRPr="00EA2F26" w:rsidRDefault="00D02973" w:rsidP="00D02973">
      <w:r w:rsidRPr="00EA2F26">
        <w:t xml:space="preserve">Capital expenditure covers renewals, upgrades and new assets and increases the value and extends the useful service life of an asset. </w:t>
      </w:r>
    </w:p>
    <w:p w:rsidR="00D02973" w:rsidRPr="00EA2F26" w:rsidRDefault="00D02973" w:rsidP="00D02973">
      <w:r w:rsidRPr="00EA2F26">
        <w:lastRenderedPageBreak/>
        <w:t xml:space="preserve">However it needs to be recognised that all upgrade works on recreation and open space assets will normally include some renewal works and in many instances renewal works may also include an upgrade component to meet current service requirements. In some instances the upgrade may require the bringing forward of renewal works that were originally scheduled for the future. </w:t>
      </w:r>
    </w:p>
    <w:p w:rsidR="00D02973" w:rsidRPr="00EA2F26" w:rsidRDefault="00D02973" w:rsidP="00D02973">
      <w:r w:rsidRPr="00EA2F26">
        <w:t xml:space="preserve">To provide a more accurate picture of the impact of these works on future renewal needs, each financial year an assessment is undertaken on a project by project basis as to the forecast expenditure split by expenditure category. </w:t>
      </w:r>
    </w:p>
    <w:p w:rsidR="00D02973" w:rsidRDefault="00D02973" w:rsidP="00D02973">
      <w:r>
        <w:t>Table 14</w:t>
      </w:r>
      <w:r w:rsidRPr="00EA2F26">
        <w:t xml:space="preserve"> </w:t>
      </w:r>
      <w:r>
        <w:t xml:space="preserve">and Table 15 </w:t>
      </w:r>
      <w:r w:rsidRPr="00EA2F26">
        <w:t>shows the 10 year forecast for capital works for recreation and open space assets</w:t>
      </w:r>
      <w:r>
        <w:t>, respectively for renewal and new assets</w:t>
      </w:r>
      <w:r w:rsidRPr="00EA2F26">
        <w:t>.</w:t>
      </w:r>
    </w:p>
    <w:p w:rsidR="00D02973" w:rsidRPr="0077021D" w:rsidRDefault="00D02973" w:rsidP="00D02973">
      <w:pPr>
        <w:rPr>
          <w:b/>
        </w:rPr>
      </w:pPr>
      <w:r>
        <w:rPr>
          <w:b/>
        </w:rPr>
        <w:t>Table 14</w:t>
      </w:r>
      <w:r w:rsidRPr="00EA2F26">
        <w:rPr>
          <w:b/>
        </w:rPr>
        <w:t xml:space="preserve">. </w:t>
      </w:r>
      <w:r>
        <w:rPr>
          <w:b/>
        </w:rPr>
        <w:t xml:space="preserve">Recreation and </w:t>
      </w:r>
      <w:r w:rsidRPr="00EA2F26">
        <w:rPr>
          <w:b/>
        </w:rPr>
        <w:t>Open Space Capital Works Budgets 2015/16-2024/25</w:t>
      </w:r>
      <w:r>
        <w:rPr>
          <w:b/>
        </w:rPr>
        <w:t xml:space="preserve"> (renewal)</w:t>
      </w:r>
    </w:p>
    <w:tbl>
      <w:tblPr>
        <w:tblW w:w="10147" w:type="dxa"/>
        <w:tblLayout w:type="fixed"/>
        <w:tblLook w:val="04A0" w:firstRow="1" w:lastRow="0" w:firstColumn="1" w:lastColumn="0" w:noHBand="0" w:noVBand="1"/>
      </w:tblPr>
      <w:tblGrid>
        <w:gridCol w:w="1077"/>
        <w:gridCol w:w="907"/>
        <w:gridCol w:w="907"/>
        <w:gridCol w:w="907"/>
        <w:gridCol w:w="907"/>
        <w:gridCol w:w="907"/>
        <w:gridCol w:w="907"/>
        <w:gridCol w:w="907"/>
        <w:gridCol w:w="907"/>
        <w:gridCol w:w="907"/>
        <w:gridCol w:w="907"/>
      </w:tblGrid>
      <w:tr w:rsidR="00D02973" w:rsidRPr="0077021D" w:rsidTr="00DF2FAC">
        <w:trPr>
          <w:trHeight w:val="315"/>
        </w:trPr>
        <w:tc>
          <w:tcPr>
            <w:tcW w:w="1077" w:type="dxa"/>
            <w:tcBorders>
              <w:top w:val="single" w:sz="8" w:space="0" w:color="auto"/>
              <w:left w:val="single" w:sz="8" w:space="0" w:color="auto"/>
              <w:bottom w:val="single" w:sz="8" w:space="0" w:color="auto"/>
              <w:right w:val="single" w:sz="8" w:space="0" w:color="auto"/>
            </w:tcBorders>
            <w:shd w:val="clear" w:color="000000" w:fill="000000"/>
            <w:vAlign w:val="center"/>
            <w:hideMark/>
          </w:tcPr>
          <w:p w:rsidR="00D02973" w:rsidRPr="0077021D" w:rsidRDefault="00D02973" w:rsidP="00DF2FAC">
            <w:pPr>
              <w:spacing w:after="0" w:line="240" w:lineRule="auto"/>
              <w:rPr>
                <w:rFonts w:ascii="Arial Narrow" w:eastAsia="Times New Roman" w:hAnsi="Arial Narrow" w:cs="Times New Roman"/>
                <w:b/>
                <w:bCs/>
                <w:color w:val="FFFFFF"/>
                <w:sz w:val="16"/>
                <w:szCs w:val="16"/>
                <w:lang w:eastAsia="en-AU"/>
              </w:rPr>
            </w:pPr>
            <w:r w:rsidRPr="0077021D">
              <w:rPr>
                <w:rFonts w:ascii="Arial Narrow" w:eastAsia="Times New Roman" w:hAnsi="Arial Narrow" w:cs="Times New Roman"/>
                <w:b/>
                <w:bCs/>
                <w:color w:val="FFFFFF"/>
                <w:sz w:val="16"/>
                <w:szCs w:val="16"/>
                <w:lang w:eastAsia="en-AU"/>
              </w:rPr>
              <w:t>Renewal</w:t>
            </w:r>
          </w:p>
        </w:tc>
        <w:tc>
          <w:tcPr>
            <w:tcW w:w="907" w:type="dxa"/>
            <w:tcBorders>
              <w:top w:val="single" w:sz="8" w:space="0" w:color="auto"/>
              <w:left w:val="nil"/>
              <w:bottom w:val="single" w:sz="8" w:space="0" w:color="auto"/>
              <w:right w:val="single" w:sz="8" w:space="0" w:color="auto"/>
            </w:tcBorders>
            <w:shd w:val="clear" w:color="000000" w:fill="000000"/>
            <w:vAlign w:val="center"/>
            <w:hideMark/>
          </w:tcPr>
          <w:p w:rsidR="00D02973" w:rsidRPr="0077021D" w:rsidRDefault="00D02973" w:rsidP="00DF2FAC">
            <w:pPr>
              <w:spacing w:after="0" w:line="240" w:lineRule="auto"/>
              <w:jc w:val="center"/>
              <w:rPr>
                <w:rFonts w:ascii="Arial Narrow" w:eastAsia="Times New Roman" w:hAnsi="Arial Narrow" w:cs="Times New Roman"/>
                <w:b/>
                <w:bCs/>
                <w:color w:val="FFFFFF"/>
                <w:sz w:val="16"/>
                <w:szCs w:val="16"/>
                <w:lang w:eastAsia="en-AU"/>
              </w:rPr>
            </w:pPr>
            <w:r w:rsidRPr="0077021D">
              <w:rPr>
                <w:rFonts w:ascii="Arial Narrow" w:eastAsia="Times New Roman" w:hAnsi="Arial Narrow" w:cs="Times New Roman"/>
                <w:b/>
                <w:bCs/>
                <w:color w:val="FFFFFF"/>
                <w:sz w:val="16"/>
                <w:szCs w:val="16"/>
                <w:lang w:eastAsia="en-AU"/>
              </w:rPr>
              <w:t>2015/16</w:t>
            </w:r>
          </w:p>
        </w:tc>
        <w:tc>
          <w:tcPr>
            <w:tcW w:w="907" w:type="dxa"/>
            <w:tcBorders>
              <w:top w:val="single" w:sz="8" w:space="0" w:color="auto"/>
              <w:left w:val="nil"/>
              <w:bottom w:val="single" w:sz="8" w:space="0" w:color="auto"/>
              <w:right w:val="single" w:sz="8" w:space="0" w:color="auto"/>
            </w:tcBorders>
            <w:shd w:val="clear" w:color="000000" w:fill="000000"/>
            <w:vAlign w:val="center"/>
            <w:hideMark/>
          </w:tcPr>
          <w:p w:rsidR="00D02973" w:rsidRPr="0077021D" w:rsidRDefault="00D02973" w:rsidP="00DF2FAC">
            <w:pPr>
              <w:spacing w:after="0" w:line="240" w:lineRule="auto"/>
              <w:jc w:val="center"/>
              <w:rPr>
                <w:rFonts w:ascii="Arial Narrow" w:eastAsia="Times New Roman" w:hAnsi="Arial Narrow" w:cs="Times New Roman"/>
                <w:b/>
                <w:bCs/>
                <w:color w:val="FFFFFF"/>
                <w:sz w:val="16"/>
                <w:szCs w:val="16"/>
                <w:lang w:eastAsia="en-AU"/>
              </w:rPr>
            </w:pPr>
            <w:r w:rsidRPr="0077021D">
              <w:rPr>
                <w:rFonts w:ascii="Arial Narrow" w:eastAsia="Times New Roman" w:hAnsi="Arial Narrow" w:cs="Times New Roman"/>
                <w:b/>
                <w:bCs/>
                <w:color w:val="FFFFFF"/>
                <w:sz w:val="16"/>
                <w:szCs w:val="16"/>
                <w:lang w:eastAsia="en-AU"/>
              </w:rPr>
              <w:t>2016/17</w:t>
            </w:r>
          </w:p>
        </w:tc>
        <w:tc>
          <w:tcPr>
            <w:tcW w:w="907" w:type="dxa"/>
            <w:tcBorders>
              <w:top w:val="single" w:sz="8" w:space="0" w:color="auto"/>
              <w:left w:val="nil"/>
              <w:bottom w:val="single" w:sz="8" w:space="0" w:color="auto"/>
              <w:right w:val="single" w:sz="8" w:space="0" w:color="auto"/>
            </w:tcBorders>
            <w:shd w:val="clear" w:color="000000" w:fill="000000"/>
            <w:vAlign w:val="center"/>
            <w:hideMark/>
          </w:tcPr>
          <w:p w:rsidR="00D02973" w:rsidRPr="0077021D" w:rsidRDefault="00D02973" w:rsidP="00DF2FAC">
            <w:pPr>
              <w:spacing w:after="0" w:line="240" w:lineRule="auto"/>
              <w:jc w:val="center"/>
              <w:rPr>
                <w:rFonts w:ascii="Arial Narrow" w:eastAsia="Times New Roman" w:hAnsi="Arial Narrow" w:cs="Times New Roman"/>
                <w:b/>
                <w:bCs/>
                <w:color w:val="FFFFFF"/>
                <w:sz w:val="16"/>
                <w:szCs w:val="16"/>
                <w:lang w:eastAsia="en-AU"/>
              </w:rPr>
            </w:pPr>
            <w:r w:rsidRPr="0077021D">
              <w:rPr>
                <w:rFonts w:ascii="Arial Narrow" w:eastAsia="Times New Roman" w:hAnsi="Arial Narrow" w:cs="Times New Roman"/>
                <w:b/>
                <w:bCs/>
                <w:color w:val="FFFFFF"/>
                <w:sz w:val="16"/>
                <w:szCs w:val="16"/>
                <w:lang w:eastAsia="en-AU"/>
              </w:rPr>
              <w:t>2017/18</w:t>
            </w:r>
          </w:p>
        </w:tc>
        <w:tc>
          <w:tcPr>
            <w:tcW w:w="907" w:type="dxa"/>
            <w:tcBorders>
              <w:top w:val="single" w:sz="8" w:space="0" w:color="auto"/>
              <w:left w:val="nil"/>
              <w:bottom w:val="single" w:sz="8" w:space="0" w:color="auto"/>
              <w:right w:val="single" w:sz="8" w:space="0" w:color="auto"/>
            </w:tcBorders>
            <w:shd w:val="clear" w:color="000000" w:fill="000000"/>
            <w:vAlign w:val="center"/>
            <w:hideMark/>
          </w:tcPr>
          <w:p w:rsidR="00D02973" w:rsidRPr="0077021D" w:rsidRDefault="00D02973" w:rsidP="00DF2FAC">
            <w:pPr>
              <w:spacing w:after="0" w:line="240" w:lineRule="auto"/>
              <w:jc w:val="center"/>
              <w:rPr>
                <w:rFonts w:ascii="Arial Narrow" w:eastAsia="Times New Roman" w:hAnsi="Arial Narrow" w:cs="Times New Roman"/>
                <w:b/>
                <w:bCs/>
                <w:color w:val="FFFFFF"/>
                <w:sz w:val="16"/>
                <w:szCs w:val="16"/>
                <w:lang w:eastAsia="en-AU"/>
              </w:rPr>
            </w:pPr>
            <w:r w:rsidRPr="0077021D">
              <w:rPr>
                <w:rFonts w:ascii="Arial Narrow" w:eastAsia="Times New Roman" w:hAnsi="Arial Narrow" w:cs="Times New Roman"/>
                <w:b/>
                <w:bCs/>
                <w:color w:val="FFFFFF"/>
                <w:sz w:val="16"/>
                <w:szCs w:val="16"/>
                <w:lang w:eastAsia="en-AU"/>
              </w:rPr>
              <w:t>2018/19</w:t>
            </w:r>
          </w:p>
        </w:tc>
        <w:tc>
          <w:tcPr>
            <w:tcW w:w="907" w:type="dxa"/>
            <w:tcBorders>
              <w:top w:val="single" w:sz="8" w:space="0" w:color="auto"/>
              <w:left w:val="nil"/>
              <w:bottom w:val="single" w:sz="8" w:space="0" w:color="auto"/>
              <w:right w:val="single" w:sz="8" w:space="0" w:color="auto"/>
            </w:tcBorders>
            <w:shd w:val="clear" w:color="000000" w:fill="000000"/>
            <w:vAlign w:val="center"/>
            <w:hideMark/>
          </w:tcPr>
          <w:p w:rsidR="00D02973" w:rsidRPr="0077021D" w:rsidRDefault="00D02973" w:rsidP="00DF2FAC">
            <w:pPr>
              <w:spacing w:after="0" w:line="240" w:lineRule="auto"/>
              <w:jc w:val="center"/>
              <w:rPr>
                <w:rFonts w:ascii="Arial Narrow" w:eastAsia="Times New Roman" w:hAnsi="Arial Narrow" w:cs="Times New Roman"/>
                <w:b/>
                <w:bCs/>
                <w:color w:val="FFFFFF"/>
                <w:sz w:val="16"/>
                <w:szCs w:val="16"/>
                <w:lang w:eastAsia="en-AU"/>
              </w:rPr>
            </w:pPr>
            <w:r w:rsidRPr="0077021D">
              <w:rPr>
                <w:rFonts w:ascii="Arial Narrow" w:eastAsia="Times New Roman" w:hAnsi="Arial Narrow" w:cs="Times New Roman"/>
                <w:b/>
                <w:bCs/>
                <w:color w:val="FFFFFF"/>
                <w:sz w:val="16"/>
                <w:szCs w:val="16"/>
                <w:lang w:eastAsia="en-AU"/>
              </w:rPr>
              <w:t>2019/20</w:t>
            </w:r>
          </w:p>
        </w:tc>
        <w:tc>
          <w:tcPr>
            <w:tcW w:w="907" w:type="dxa"/>
            <w:tcBorders>
              <w:top w:val="single" w:sz="8" w:space="0" w:color="auto"/>
              <w:left w:val="nil"/>
              <w:bottom w:val="single" w:sz="8" w:space="0" w:color="auto"/>
              <w:right w:val="single" w:sz="8" w:space="0" w:color="auto"/>
            </w:tcBorders>
            <w:shd w:val="clear" w:color="000000" w:fill="000000"/>
            <w:vAlign w:val="center"/>
            <w:hideMark/>
          </w:tcPr>
          <w:p w:rsidR="00D02973" w:rsidRPr="0077021D" w:rsidRDefault="00D02973" w:rsidP="00DF2FAC">
            <w:pPr>
              <w:spacing w:after="0" w:line="240" w:lineRule="auto"/>
              <w:jc w:val="center"/>
              <w:rPr>
                <w:rFonts w:ascii="Arial Narrow" w:eastAsia="Times New Roman" w:hAnsi="Arial Narrow" w:cs="Times New Roman"/>
                <w:b/>
                <w:bCs/>
                <w:color w:val="FFFFFF"/>
                <w:sz w:val="16"/>
                <w:szCs w:val="16"/>
                <w:lang w:eastAsia="en-AU"/>
              </w:rPr>
            </w:pPr>
            <w:r w:rsidRPr="0077021D">
              <w:rPr>
                <w:rFonts w:ascii="Arial Narrow" w:eastAsia="Times New Roman" w:hAnsi="Arial Narrow" w:cs="Times New Roman"/>
                <w:b/>
                <w:bCs/>
                <w:color w:val="FFFFFF"/>
                <w:sz w:val="16"/>
                <w:szCs w:val="16"/>
                <w:lang w:eastAsia="en-AU"/>
              </w:rPr>
              <w:t>2020/21</w:t>
            </w:r>
          </w:p>
        </w:tc>
        <w:tc>
          <w:tcPr>
            <w:tcW w:w="907" w:type="dxa"/>
            <w:tcBorders>
              <w:top w:val="single" w:sz="8" w:space="0" w:color="auto"/>
              <w:left w:val="nil"/>
              <w:bottom w:val="single" w:sz="8" w:space="0" w:color="auto"/>
              <w:right w:val="single" w:sz="8" w:space="0" w:color="auto"/>
            </w:tcBorders>
            <w:shd w:val="clear" w:color="000000" w:fill="000000"/>
            <w:vAlign w:val="center"/>
            <w:hideMark/>
          </w:tcPr>
          <w:p w:rsidR="00D02973" w:rsidRPr="0077021D" w:rsidRDefault="00D02973" w:rsidP="00DF2FAC">
            <w:pPr>
              <w:spacing w:after="0" w:line="240" w:lineRule="auto"/>
              <w:jc w:val="center"/>
              <w:rPr>
                <w:rFonts w:ascii="Arial Narrow" w:eastAsia="Times New Roman" w:hAnsi="Arial Narrow" w:cs="Times New Roman"/>
                <w:b/>
                <w:bCs/>
                <w:color w:val="FFFFFF"/>
                <w:sz w:val="16"/>
                <w:szCs w:val="16"/>
                <w:lang w:eastAsia="en-AU"/>
              </w:rPr>
            </w:pPr>
            <w:r w:rsidRPr="0077021D">
              <w:rPr>
                <w:rFonts w:ascii="Arial Narrow" w:eastAsia="Times New Roman" w:hAnsi="Arial Narrow" w:cs="Times New Roman"/>
                <w:b/>
                <w:bCs/>
                <w:color w:val="FFFFFF"/>
                <w:sz w:val="16"/>
                <w:szCs w:val="16"/>
                <w:lang w:eastAsia="en-AU"/>
              </w:rPr>
              <w:t>2021/22</w:t>
            </w:r>
          </w:p>
        </w:tc>
        <w:tc>
          <w:tcPr>
            <w:tcW w:w="907" w:type="dxa"/>
            <w:tcBorders>
              <w:top w:val="single" w:sz="8" w:space="0" w:color="auto"/>
              <w:left w:val="nil"/>
              <w:bottom w:val="single" w:sz="8" w:space="0" w:color="auto"/>
              <w:right w:val="single" w:sz="8" w:space="0" w:color="auto"/>
            </w:tcBorders>
            <w:shd w:val="clear" w:color="000000" w:fill="000000"/>
            <w:vAlign w:val="center"/>
            <w:hideMark/>
          </w:tcPr>
          <w:p w:rsidR="00D02973" w:rsidRPr="0077021D" w:rsidRDefault="00D02973" w:rsidP="00DF2FAC">
            <w:pPr>
              <w:spacing w:after="0" w:line="240" w:lineRule="auto"/>
              <w:jc w:val="center"/>
              <w:rPr>
                <w:rFonts w:ascii="Arial Narrow" w:eastAsia="Times New Roman" w:hAnsi="Arial Narrow" w:cs="Times New Roman"/>
                <w:b/>
                <w:bCs/>
                <w:color w:val="FFFFFF"/>
                <w:sz w:val="16"/>
                <w:szCs w:val="16"/>
                <w:lang w:eastAsia="en-AU"/>
              </w:rPr>
            </w:pPr>
            <w:r w:rsidRPr="0077021D">
              <w:rPr>
                <w:rFonts w:ascii="Arial Narrow" w:eastAsia="Times New Roman" w:hAnsi="Arial Narrow" w:cs="Times New Roman"/>
                <w:b/>
                <w:bCs/>
                <w:color w:val="FFFFFF"/>
                <w:sz w:val="16"/>
                <w:szCs w:val="16"/>
                <w:lang w:eastAsia="en-AU"/>
              </w:rPr>
              <w:t>2022/23</w:t>
            </w:r>
          </w:p>
        </w:tc>
        <w:tc>
          <w:tcPr>
            <w:tcW w:w="907" w:type="dxa"/>
            <w:tcBorders>
              <w:top w:val="single" w:sz="8" w:space="0" w:color="auto"/>
              <w:left w:val="nil"/>
              <w:bottom w:val="single" w:sz="8" w:space="0" w:color="auto"/>
              <w:right w:val="single" w:sz="8" w:space="0" w:color="auto"/>
            </w:tcBorders>
            <w:shd w:val="clear" w:color="000000" w:fill="000000"/>
            <w:vAlign w:val="center"/>
            <w:hideMark/>
          </w:tcPr>
          <w:p w:rsidR="00D02973" w:rsidRPr="0077021D" w:rsidRDefault="00D02973" w:rsidP="00DF2FAC">
            <w:pPr>
              <w:spacing w:after="0" w:line="240" w:lineRule="auto"/>
              <w:jc w:val="center"/>
              <w:rPr>
                <w:rFonts w:ascii="Arial Narrow" w:eastAsia="Times New Roman" w:hAnsi="Arial Narrow" w:cs="Times New Roman"/>
                <w:b/>
                <w:bCs/>
                <w:color w:val="FFFFFF"/>
                <w:sz w:val="16"/>
                <w:szCs w:val="16"/>
                <w:lang w:eastAsia="en-AU"/>
              </w:rPr>
            </w:pPr>
            <w:r w:rsidRPr="0077021D">
              <w:rPr>
                <w:rFonts w:ascii="Arial Narrow" w:eastAsia="Times New Roman" w:hAnsi="Arial Narrow" w:cs="Times New Roman"/>
                <w:b/>
                <w:bCs/>
                <w:color w:val="FFFFFF"/>
                <w:sz w:val="16"/>
                <w:szCs w:val="16"/>
                <w:lang w:eastAsia="en-AU"/>
              </w:rPr>
              <w:t>2023/24</w:t>
            </w:r>
          </w:p>
        </w:tc>
        <w:tc>
          <w:tcPr>
            <w:tcW w:w="907" w:type="dxa"/>
            <w:tcBorders>
              <w:top w:val="single" w:sz="8" w:space="0" w:color="auto"/>
              <w:left w:val="nil"/>
              <w:bottom w:val="single" w:sz="8" w:space="0" w:color="auto"/>
              <w:right w:val="single" w:sz="8" w:space="0" w:color="auto"/>
            </w:tcBorders>
            <w:shd w:val="clear" w:color="000000" w:fill="000000"/>
            <w:vAlign w:val="center"/>
            <w:hideMark/>
          </w:tcPr>
          <w:p w:rsidR="00D02973" w:rsidRPr="0077021D" w:rsidRDefault="00D02973" w:rsidP="00DF2FAC">
            <w:pPr>
              <w:spacing w:after="0" w:line="240" w:lineRule="auto"/>
              <w:jc w:val="center"/>
              <w:rPr>
                <w:rFonts w:ascii="Arial Narrow" w:eastAsia="Times New Roman" w:hAnsi="Arial Narrow" w:cs="Times New Roman"/>
                <w:b/>
                <w:bCs/>
                <w:color w:val="FFFFFF"/>
                <w:sz w:val="16"/>
                <w:szCs w:val="16"/>
                <w:lang w:eastAsia="en-AU"/>
              </w:rPr>
            </w:pPr>
            <w:r w:rsidRPr="0077021D">
              <w:rPr>
                <w:rFonts w:ascii="Arial Narrow" w:eastAsia="Times New Roman" w:hAnsi="Arial Narrow" w:cs="Times New Roman"/>
                <w:b/>
                <w:bCs/>
                <w:color w:val="FFFFFF"/>
                <w:sz w:val="16"/>
                <w:szCs w:val="16"/>
                <w:lang w:eastAsia="en-AU"/>
              </w:rPr>
              <w:t>2024/25</w:t>
            </w:r>
          </w:p>
        </w:tc>
      </w:tr>
      <w:tr w:rsidR="00D02973" w:rsidRPr="0077021D" w:rsidTr="00DF2FAC">
        <w:trPr>
          <w:trHeight w:val="525"/>
        </w:trPr>
        <w:tc>
          <w:tcPr>
            <w:tcW w:w="1077" w:type="dxa"/>
            <w:tcBorders>
              <w:top w:val="nil"/>
              <w:left w:val="single" w:sz="8" w:space="0" w:color="auto"/>
              <w:bottom w:val="single" w:sz="8" w:space="0" w:color="auto"/>
              <w:right w:val="single" w:sz="8" w:space="0" w:color="auto"/>
            </w:tcBorders>
            <w:shd w:val="clear" w:color="auto" w:fill="auto"/>
            <w:vAlign w:val="center"/>
            <w:hideMark/>
          </w:tcPr>
          <w:p w:rsidR="00D02973" w:rsidRPr="0077021D" w:rsidRDefault="00D02973" w:rsidP="00DF2FAC">
            <w:pPr>
              <w:spacing w:after="0" w:line="240" w:lineRule="auto"/>
              <w:rPr>
                <w:rFonts w:ascii="Arial Narrow" w:eastAsia="Times New Roman" w:hAnsi="Arial Narrow" w:cs="Times New Roman"/>
                <w:color w:val="000000"/>
                <w:sz w:val="16"/>
                <w:szCs w:val="16"/>
                <w:lang w:eastAsia="en-AU"/>
              </w:rPr>
            </w:pPr>
            <w:r w:rsidRPr="0077021D">
              <w:rPr>
                <w:rFonts w:ascii="Arial Narrow" w:eastAsia="Times New Roman" w:hAnsi="Arial Narrow" w:cs="Times New Roman"/>
                <w:color w:val="000000"/>
                <w:sz w:val="16"/>
                <w:szCs w:val="16"/>
                <w:lang w:eastAsia="en-AU"/>
              </w:rPr>
              <w:t>Foreshore and conservation</w:t>
            </w:r>
          </w:p>
        </w:tc>
        <w:tc>
          <w:tcPr>
            <w:tcW w:w="907" w:type="dxa"/>
            <w:tcBorders>
              <w:top w:val="nil"/>
              <w:left w:val="nil"/>
              <w:bottom w:val="single" w:sz="8" w:space="0" w:color="auto"/>
              <w:right w:val="single" w:sz="8" w:space="0" w:color="auto"/>
            </w:tcBorders>
            <w:shd w:val="clear" w:color="auto" w:fill="auto"/>
            <w:vAlign w:val="center"/>
            <w:hideMark/>
          </w:tcPr>
          <w:p w:rsidR="00D02973" w:rsidRPr="0077021D" w:rsidRDefault="00D02973" w:rsidP="00DF2FAC">
            <w:pPr>
              <w:spacing w:after="0" w:line="240" w:lineRule="auto"/>
              <w:jc w:val="center"/>
              <w:rPr>
                <w:rFonts w:ascii="Arial Narrow" w:eastAsia="Times New Roman" w:hAnsi="Arial Narrow" w:cs="Times New Roman"/>
                <w:color w:val="000000"/>
                <w:sz w:val="16"/>
                <w:szCs w:val="16"/>
                <w:lang w:eastAsia="en-AU"/>
              </w:rPr>
            </w:pPr>
            <w:r w:rsidRPr="0077021D">
              <w:rPr>
                <w:rFonts w:ascii="Arial Narrow" w:eastAsia="Times New Roman" w:hAnsi="Arial Narrow" w:cs="Times New Roman"/>
                <w:color w:val="000000"/>
                <w:sz w:val="16"/>
                <w:szCs w:val="16"/>
                <w:lang w:eastAsia="en-AU"/>
              </w:rPr>
              <w:t>$2,758,000</w:t>
            </w:r>
          </w:p>
        </w:tc>
        <w:tc>
          <w:tcPr>
            <w:tcW w:w="907" w:type="dxa"/>
            <w:tcBorders>
              <w:top w:val="nil"/>
              <w:left w:val="nil"/>
              <w:bottom w:val="single" w:sz="8" w:space="0" w:color="auto"/>
              <w:right w:val="single" w:sz="8" w:space="0" w:color="auto"/>
            </w:tcBorders>
            <w:shd w:val="clear" w:color="auto" w:fill="auto"/>
            <w:vAlign w:val="center"/>
            <w:hideMark/>
          </w:tcPr>
          <w:p w:rsidR="00D02973" w:rsidRPr="0077021D" w:rsidRDefault="00D02973" w:rsidP="00DF2FAC">
            <w:pPr>
              <w:spacing w:after="0" w:line="240" w:lineRule="auto"/>
              <w:jc w:val="center"/>
              <w:rPr>
                <w:rFonts w:ascii="Arial Narrow" w:eastAsia="Times New Roman" w:hAnsi="Arial Narrow" w:cs="Times New Roman"/>
                <w:color w:val="000000"/>
                <w:sz w:val="16"/>
                <w:szCs w:val="16"/>
                <w:lang w:eastAsia="en-AU"/>
              </w:rPr>
            </w:pPr>
            <w:r w:rsidRPr="0077021D">
              <w:rPr>
                <w:rFonts w:ascii="Arial Narrow" w:eastAsia="Times New Roman" w:hAnsi="Arial Narrow" w:cs="Times New Roman"/>
                <w:color w:val="000000"/>
                <w:sz w:val="16"/>
                <w:szCs w:val="16"/>
                <w:lang w:eastAsia="en-AU"/>
              </w:rPr>
              <w:t>$2,205,000</w:t>
            </w:r>
          </w:p>
        </w:tc>
        <w:tc>
          <w:tcPr>
            <w:tcW w:w="907" w:type="dxa"/>
            <w:tcBorders>
              <w:top w:val="nil"/>
              <w:left w:val="nil"/>
              <w:bottom w:val="single" w:sz="8" w:space="0" w:color="auto"/>
              <w:right w:val="single" w:sz="8" w:space="0" w:color="auto"/>
            </w:tcBorders>
            <w:shd w:val="clear" w:color="auto" w:fill="auto"/>
            <w:vAlign w:val="center"/>
            <w:hideMark/>
          </w:tcPr>
          <w:p w:rsidR="00D02973" w:rsidRPr="0077021D" w:rsidRDefault="00D02973" w:rsidP="00DF2FAC">
            <w:pPr>
              <w:spacing w:after="0" w:line="240" w:lineRule="auto"/>
              <w:jc w:val="center"/>
              <w:rPr>
                <w:rFonts w:ascii="Arial Narrow" w:eastAsia="Times New Roman" w:hAnsi="Arial Narrow" w:cs="Times New Roman"/>
                <w:color w:val="000000"/>
                <w:sz w:val="16"/>
                <w:szCs w:val="16"/>
                <w:lang w:eastAsia="en-AU"/>
              </w:rPr>
            </w:pPr>
            <w:r w:rsidRPr="0077021D">
              <w:rPr>
                <w:rFonts w:ascii="Arial Narrow" w:eastAsia="Times New Roman" w:hAnsi="Arial Narrow" w:cs="Times New Roman"/>
                <w:color w:val="000000"/>
                <w:sz w:val="16"/>
                <w:szCs w:val="16"/>
                <w:lang w:eastAsia="en-AU"/>
              </w:rPr>
              <w:t>$2,439,000</w:t>
            </w:r>
          </w:p>
        </w:tc>
        <w:tc>
          <w:tcPr>
            <w:tcW w:w="907" w:type="dxa"/>
            <w:tcBorders>
              <w:top w:val="nil"/>
              <w:left w:val="nil"/>
              <w:bottom w:val="single" w:sz="8" w:space="0" w:color="auto"/>
              <w:right w:val="single" w:sz="8" w:space="0" w:color="auto"/>
            </w:tcBorders>
            <w:shd w:val="clear" w:color="auto" w:fill="auto"/>
            <w:vAlign w:val="center"/>
            <w:hideMark/>
          </w:tcPr>
          <w:p w:rsidR="00D02973" w:rsidRPr="0077021D" w:rsidRDefault="00D02973" w:rsidP="00DF2FAC">
            <w:pPr>
              <w:spacing w:after="0" w:line="240" w:lineRule="auto"/>
              <w:jc w:val="center"/>
              <w:rPr>
                <w:rFonts w:ascii="Arial Narrow" w:eastAsia="Times New Roman" w:hAnsi="Arial Narrow" w:cs="Times New Roman"/>
                <w:color w:val="000000"/>
                <w:sz w:val="16"/>
                <w:szCs w:val="16"/>
                <w:lang w:eastAsia="en-AU"/>
              </w:rPr>
            </w:pPr>
            <w:r w:rsidRPr="0077021D">
              <w:rPr>
                <w:rFonts w:ascii="Arial Narrow" w:eastAsia="Times New Roman" w:hAnsi="Arial Narrow" w:cs="Times New Roman"/>
                <w:color w:val="000000"/>
                <w:sz w:val="16"/>
                <w:szCs w:val="16"/>
                <w:lang w:eastAsia="en-AU"/>
              </w:rPr>
              <w:t>$3,781,000</w:t>
            </w:r>
          </w:p>
        </w:tc>
        <w:tc>
          <w:tcPr>
            <w:tcW w:w="907" w:type="dxa"/>
            <w:tcBorders>
              <w:top w:val="nil"/>
              <w:left w:val="nil"/>
              <w:bottom w:val="single" w:sz="8" w:space="0" w:color="auto"/>
              <w:right w:val="single" w:sz="8" w:space="0" w:color="auto"/>
            </w:tcBorders>
            <w:shd w:val="clear" w:color="auto" w:fill="auto"/>
            <w:vAlign w:val="center"/>
            <w:hideMark/>
          </w:tcPr>
          <w:p w:rsidR="00D02973" w:rsidRPr="0077021D" w:rsidRDefault="00D02973" w:rsidP="00DF2FAC">
            <w:pPr>
              <w:spacing w:after="0" w:line="240" w:lineRule="auto"/>
              <w:jc w:val="center"/>
              <w:rPr>
                <w:rFonts w:ascii="Arial Narrow" w:eastAsia="Times New Roman" w:hAnsi="Arial Narrow" w:cs="Times New Roman"/>
                <w:color w:val="000000"/>
                <w:sz w:val="16"/>
                <w:szCs w:val="16"/>
                <w:lang w:eastAsia="en-AU"/>
              </w:rPr>
            </w:pPr>
            <w:r w:rsidRPr="0077021D">
              <w:rPr>
                <w:rFonts w:ascii="Arial Narrow" w:eastAsia="Times New Roman" w:hAnsi="Arial Narrow" w:cs="Times New Roman"/>
                <w:color w:val="000000"/>
                <w:sz w:val="16"/>
                <w:szCs w:val="16"/>
                <w:lang w:eastAsia="en-AU"/>
              </w:rPr>
              <w:t>$4,630,000</w:t>
            </w:r>
          </w:p>
        </w:tc>
        <w:tc>
          <w:tcPr>
            <w:tcW w:w="907" w:type="dxa"/>
            <w:tcBorders>
              <w:top w:val="nil"/>
              <w:left w:val="nil"/>
              <w:bottom w:val="single" w:sz="8" w:space="0" w:color="auto"/>
              <w:right w:val="single" w:sz="8" w:space="0" w:color="auto"/>
            </w:tcBorders>
            <w:shd w:val="clear" w:color="auto" w:fill="auto"/>
            <w:vAlign w:val="center"/>
            <w:hideMark/>
          </w:tcPr>
          <w:p w:rsidR="00D02973" w:rsidRPr="0077021D" w:rsidRDefault="00D02973" w:rsidP="00DF2FAC">
            <w:pPr>
              <w:spacing w:after="0" w:line="240" w:lineRule="auto"/>
              <w:jc w:val="center"/>
              <w:rPr>
                <w:rFonts w:ascii="Arial Narrow" w:eastAsia="Times New Roman" w:hAnsi="Arial Narrow" w:cs="Times New Roman"/>
                <w:color w:val="000000"/>
                <w:sz w:val="16"/>
                <w:szCs w:val="16"/>
                <w:lang w:eastAsia="en-AU"/>
              </w:rPr>
            </w:pPr>
            <w:r w:rsidRPr="0077021D">
              <w:rPr>
                <w:rFonts w:ascii="Arial Narrow" w:eastAsia="Times New Roman" w:hAnsi="Arial Narrow" w:cs="Times New Roman"/>
                <w:color w:val="000000"/>
                <w:sz w:val="16"/>
                <w:szCs w:val="16"/>
                <w:lang w:eastAsia="en-AU"/>
              </w:rPr>
              <w:t>$3,559,000</w:t>
            </w:r>
          </w:p>
        </w:tc>
        <w:tc>
          <w:tcPr>
            <w:tcW w:w="907" w:type="dxa"/>
            <w:tcBorders>
              <w:top w:val="nil"/>
              <w:left w:val="nil"/>
              <w:bottom w:val="single" w:sz="8" w:space="0" w:color="auto"/>
              <w:right w:val="single" w:sz="8" w:space="0" w:color="auto"/>
            </w:tcBorders>
            <w:shd w:val="clear" w:color="auto" w:fill="auto"/>
            <w:vAlign w:val="center"/>
            <w:hideMark/>
          </w:tcPr>
          <w:p w:rsidR="00D02973" w:rsidRPr="0077021D" w:rsidRDefault="00D02973" w:rsidP="00DF2FAC">
            <w:pPr>
              <w:spacing w:after="0" w:line="240" w:lineRule="auto"/>
              <w:jc w:val="center"/>
              <w:rPr>
                <w:rFonts w:ascii="Arial Narrow" w:eastAsia="Times New Roman" w:hAnsi="Arial Narrow" w:cs="Times New Roman"/>
                <w:color w:val="000000"/>
                <w:sz w:val="16"/>
                <w:szCs w:val="16"/>
                <w:lang w:eastAsia="en-AU"/>
              </w:rPr>
            </w:pPr>
            <w:r w:rsidRPr="0077021D">
              <w:rPr>
                <w:rFonts w:ascii="Arial Narrow" w:eastAsia="Times New Roman" w:hAnsi="Arial Narrow" w:cs="Times New Roman"/>
                <w:color w:val="000000"/>
                <w:sz w:val="16"/>
                <w:szCs w:val="16"/>
                <w:lang w:eastAsia="en-AU"/>
              </w:rPr>
              <w:t>$3,705,000</w:t>
            </w:r>
          </w:p>
        </w:tc>
        <w:tc>
          <w:tcPr>
            <w:tcW w:w="907" w:type="dxa"/>
            <w:tcBorders>
              <w:top w:val="nil"/>
              <w:left w:val="nil"/>
              <w:bottom w:val="single" w:sz="8" w:space="0" w:color="auto"/>
              <w:right w:val="single" w:sz="8" w:space="0" w:color="auto"/>
            </w:tcBorders>
            <w:shd w:val="clear" w:color="auto" w:fill="auto"/>
            <w:vAlign w:val="center"/>
            <w:hideMark/>
          </w:tcPr>
          <w:p w:rsidR="00D02973" w:rsidRPr="0077021D" w:rsidRDefault="00D02973" w:rsidP="00DF2FAC">
            <w:pPr>
              <w:spacing w:after="0" w:line="240" w:lineRule="auto"/>
              <w:jc w:val="center"/>
              <w:rPr>
                <w:rFonts w:ascii="Arial Narrow" w:eastAsia="Times New Roman" w:hAnsi="Arial Narrow" w:cs="Times New Roman"/>
                <w:color w:val="000000"/>
                <w:sz w:val="16"/>
                <w:szCs w:val="16"/>
                <w:lang w:eastAsia="en-AU"/>
              </w:rPr>
            </w:pPr>
            <w:r w:rsidRPr="0077021D">
              <w:rPr>
                <w:rFonts w:ascii="Arial Narrow" w:eastAsia="Times New Roman" w:hAnsi="Arial Narrow" w:cs="Times New Roman"/>
                <w:color w:val="000000"/>
                <w:sz w:val="16"/>
                <w:szCs w:val="16"/>
                <w:lang w:eastAsia="en-AU"/>
              </w:rPr>
              <w:t>$3,775,000</w:t>
            </w:r>
          </w:p>
        </w:tc>
        <w:tc>
          <w:tcPr>
            <w:tcW w:w="907" w:type="dxa"/>
            <w:tcBorders>
              <w:top w:val="nil"/>
              <w:left w:val="nil"/>
              <w:bottom w:val="single" w:sz="8" w:space="0" w:color="auto"/>
              <w:right w:val="single" w:sz="8" w:space="0" w:color="auto"/>
            </w:tcBorders>
            <w:shd w:val="clear" w:color="auto" w:fill="auto"/>
            <w:vAlign w:val="center"/>
            <w:hideMark/>
          </w:tcPr>
          <w:p w:rsidR="00D02973" w:rsidRPr="0077021D" w:rsidRDefault="00D02973" w:rsidP="00DF2FAC">
            <w:pPr>
              <w:spacing w:after="0" w:line="240" w:lineRule="auto"/>
              <w:jc w:val="center"/>
              <w:rPr>
                <w:rFonts w:ascii="Arial Narrow" w:eastAsia="Times New Roman" w:hAnsi="Arial Narrow" w:cs="Times New Roman"/>
                <w:color w:val="000000"/>
                <w:sz w:val="16"/>
                <w:szCs w:val="16"/>
                <w:lang w:eastAsia="en-AU"/>
              </w:rPr>
            </w:pPr>
            <w:r w:rsidRPr="0077021D">
              <w:rPr>
                <w:rFonts w:ascii="Arial Narrow" w:eastAsia="Times New Roman" w:hAnsi="Arial Narrow" w:cs="Times New Roman"/>
                <w:color w:val="000000"/>
                <w:sz w:val="16"/>
                <w:szCs w:val="16"/>
                <w:lang w:eastAsia="en-AU"/>
              </w:rPr>
              <w:t>$3,809,000</w:t>
            </w:r>
          </w:p>
        </w:tc>
        <w:tc>
          <w:tcPr>
            <w:tcW w:w="907" w:type="dxa"/>
            <w:tcBorders>
              <w:top w:val="nil"/>
              <w:left w:val="nil"/>
              <w:bottom w:val="single" w:sz="8" w:space="0" w:color="auto"/>
              <w:right w:val="single" w:sz="8" w:space="0" w:color="auto"/>
            </w:tcBorders>
            <w:shd w:val="clear" w:color="auto" w:fill="auto"/>
            <w:vAlign w:val="center"/>
            <w:hideMark/>
          </w:tcPr>
          <w:p w:rsidR="00D02973" w:rsidRPr="0077021D" w:rsidRDefault="00D02973" w:rsidP="00DF2FAC">
            <w:pPr>
              <w:spacing w:after="0" w:line="240" w:lineRule="auto"/>
              <w:jc w:val="center"/>
              <w:rPr>
                <w:rFonts w:ascii="Arial Narrow" w:eastAsia="Times New Roman" w:hAnsi="Arial Narrow" w:cs="Times New Roman"/>
                <w:color w:val="000000"/>
                <w:sz w:val="16"/>
                <w:szCs w:val="16"/>
                <w:lang w:eastAsia="en-AU"/>
              </w:rPr>
            </w:pPr>
            <w:r w:rsidRPr="0077021D">
              <w:rPr>
                <w:rFonts w:ascii="Arial Narrow" w:eastAsia="Times New Roman" w:hAnsi="Arial Narrow" w:cs="Times New Roman"/>
                <w:color w:val="000000"/>
                <w:sz w:val="16"/>
                <w:szCs w:val="16"/>
                <w:lang w:eastAsia="en-AU"/>
              </w:rPr>
              <w:t>$3,842,000</w:t>
            </w:r>
          </w:p>
        </w:tc>
      </w:tr>
      <w:tr w:rsidR="00D02973" w:rsidRPr="0077021D" w:rsidTr="00DF2FAC">
        <w:trPr>
          <w:trHeight w:val="525"/>
        </w:trPr>
        <w:tc>
          <w:tcPr>
            <w:tcW w:w="1077" w:type="dxa"/>
            <w:tcBorders>
              <w:top w:val="nil"/>
              <w:left w:val="single" w:sz="8" w:space="0" w:color="auto"/>
              <w:bottom w:val="single" w:sz="8" w:space="0" w:color="auto"/>
              <w:right w:val="single" w:sz="8" w:space="0" w:color="auto"/>
            </w:tcBorders>
            <w:shd w:val="clear" w:color="auto" w:fill="auto"/>
            <w:vAlign w:val="center"/>
            <w:hideMark/>
          </w:tcPr>
          <w:p w:rsidR="00D02973" w:rsidRPr="0077021D" w:rsidRDefault="00D02973" w:rsidP="00DF2FAC">
            <w:pPr>
              <w:spacing w:after="0" w:line="240" w:lineRule="auto"/>
              <w:rPr>
                <w:rFonts w:ascii="Arial Narrow" w:eastAsia="Times New Roman" w:hAnsi="Arial Narrow" w:cs="Times New Roman"/>
                <w:color w:val="000000"/>
                <w:sz w:val="16"/>
                <w:szCs w:val="16"/>
                <w:lang w:eastAsia="en-AU"/>
              </w:rPr>
            </w:pPr>
            <w:r w:rsidRPr="0077021D">
              <w:rPr>
                <w:rFonts w:ascii="Arial Narrow" w:eastAsia="Times New Roman" w:hAnsi="Arial Narrow" w:cs="Times New Roman"/>
                <w:color w:val="000000"/>
                <w:sz w:val="16"/>
                <w:szCs w:val="16"/>
                <w:lang w:eastAsia="en-AU"/>
              </w:rPr>
              <w:t>Parks and recreation</w:t>
            </w:r>
          </w:p>
        </w:tc>
        <w:tc>
          <w:tcPr>
            <w:tcW w:w="907" w:type="dxa"/>
            <w:tcBorders>
              <w:top w:val="nil"/>
              <w:left w:val="nil"/>
              <w:bottom w:val="single" w:sz="8" w:space="0" w:color="auto"/>
              <w:right w:val="single" w:sz="8" w:space="0" w:color="auto"/>
            </w:tcBorders>
            <w:shd w:val="clear" w:color="auto" w:fill="auto"/>
            <w:vAlign w:val="center"/>
            <w:hideMark/>
          </w:tcPr>
          <w:p w:rsidR="00D02973" w:rsidRPr="0077021D" w:rsidRDefault="00D02973" w:rsidP="00DF2FAC">
            <w:pPr>
              <w:spacing w:after="0" w:line="240" w:lineRule="auto"/>
              <w:jc w:val="center"/>
              <w:rPr>
                <w:rFonts w:ascii="Arial Narrow" w:eastAsia="Times New Roman" w:hAnsi="Arial Narrow" w:cs="Times New Roman"/>
                <w:color w:val="000000"/>
                <w:sz w:val="16"/>
                <w:szCs w:val="16"/>
                <w:lang w:eastAsia="en-AU"/>
              </w:rPr>
            </w:pPr>
            <w:r w:rsidRPr="0077021D">
              <w:rPr>
                <w:rFonts w:ascii="Arial Narrow" w:eastAsia="Times New Roman" w:hAnsi="Arial Narrow" w:cs="Times New Roman"/>
                <w:color w:val="000000"/>
                <w:sz w:val="16"/>
                <w:szCs w:val="16"/>
                <w:lang w:eastAsia="en-AU"/>
              </w:rPr>
              <w:t>$1,416,000</w:t>
            </w:r>
          </w:p>
        </w:tc>
        <w:tc>
          <w:tcPr>
            <w:tcW w:w="907" w:type="dxa"/>
            <w:tcBorders>
              <w:top w:val="nil"/>
              <w:left w:val="nil"/>
              <w:bottom w:val="single" w:sz="8" w:space="0" w:color="auto"/>
              <w:right w:val="single" w:sz="8" w:space="0" w:color="auto"/>
            </w:tcBorders>
            <w:shd w:val="clear" w:color="auto" w:fill="auto"/>
            <w:vAlign w:val="center"/>
            <w:hideMark/>
          </w:tcPr>
          <w:p w:rsidR="00D02973" w:rsidRPr="0077021D" w:rsidRDefault="00D02973" w:rsidP="00DF2FAC">
            <w:pPr>
              <w:spacing w:after="0" w:line="240" w:lineRule="auto"/>
              <w:jc w:val="center"/>
              <w:rPr>
                <w:rFonts w:ascii="Arial Narrow" w:eastAsia="Times New Roman" w:hAnsi="Arial Narrow" w:cs="Times New Roman"/>
                <w:color w:val="000000"/>
                <w:sz w:val="16"/>
                <w:szCs w:val="16"/>
                <w:lang w:eastAsia="en-AU"/>
              </w:rPr>
            </w:pPr>
            <w:r w:rsidRPr="0077021D">
              <w:rPr>
                <w:rFonts w:ascii="Arial Narrow" w:eastAsia="Times New Roman" w:hAnsi="Arial Narrow" w:cs="Times New Roman"/>
                <w:color w:val="000000"/>
                <w:sz w:val="16"/>
                <w:szCs w:val="16"/>
                <w:lang w:eastAsia="en-AU"/>
              </w:rPr>
              <w:t>$725,000</w:t>
            </w:r>
          </w:p>
        </w:tc>
        <w:tc>
          <w:tcPr>
            <w:tcW w:w="907" w:type="dxa"/>
            <w:tcBorders>
              <w:top w:val="nil"/>
              <w:left w:val="nil"/>
              <w:bottom w:val="single" w:sz="8" w:space="0" w:color="auto"/>
              <w:right w:val="single" w:sz="8" w:space="0" w:color="auto"/>
            </w:tcBorders>
            <w:shd w:val="clear" w:color="auto" w:fill="auto"/>
            <w:vAlign w:val="center"/>
            <w:hideMark/>
          </w:tcPr>
          <w:p w:rsidR="00D02973" w:rsidRPr="0077021D" w:rsidRDefault="00D02973" w:rsidP="00DF2FAC">
            <w:pPr>
              <w:spacing w:after="0" w:line="240" w:lineRule="auto"/>
              <w:jc w:val="center"/>
              <w:rPr>
                <w:rFonts w:ascii="Arial Narrow" w:eastAsia="Times New Roman" w:hAnsi="Arial Narrow" w:cs="Times New Roman"/>
                <w:color w:val="000000"/>
                <w:sz w:val="16"/>
                <w:szCs w:val="16"/>
                <w:lang w:eastAsia="en-AU"/>
              </w:rPr>
            </w:pPr>
            <w:r w:rsidRPr="0077021D">
              <w:rPr>
                <w:rFonts w:ascii="Arial Narrow" w:eastAsia="Times New Roman" w:hAnsi="Arial Narrow" w:cs="Times New Roman"/>
                <w:color w:val="000000"/>
                <w:sz w:val="16"/>
                <w:szCs w:val="16"/>
                <w:lang w:eastAsia="en-AU"/>
              </w:rPr>
              <w:t>$270,000</w:t>
            </w:r>
          </w:p>
        </w:tc>
        <w:tc>
          <w:tcPr>
            <w:tcW w:w="907" w:type="dxa"/>
            <w:tcBorders>
              <w:top w:val="nil"/>
              <w:left w:val="nil"/>
              <w:bottom w:val="single" w:sz="8" w:space="0" w:color="auto"/>
              <w:right w:val="single" w:sz="8" w:space="0" w:color="auto"/>
            </w:tcBorders>
            <w:shd w:val="clear" w:color="auto" w:fill="auto"/>
            <w:vAlign w:val="center"/>
            <w:hideMark/>
          </w:tcPr>
          <w:p w:rsidR="00D02973" w:rsidRPr="0077021D" w:rsidRDefault="00D02973" w:rsidP="00DF2FAC">
            <w:pPr>
              <w:spacing w:after="0" w:line="240" w:lineRule="auto"/>
              <w:jc w:val="center"/>
              <w:rPr>
                <w:rFonts w:ascii="Arial Narrow" w:eastAsia="Times New Roman" w:hAnsi="Arial Narrow" w:cs="Times New Roman"/>
                <w:color w:val="000000"/>
                <w:sz w:val="16"/>
                <w:szCs w:val="16"/>
                <w:lang w:eastAsia="en-AU"/>
              </w:rPr>
            </w:pPr>
            <w:r w:rsidRPr="0077021D">
              <w:rPr>
                <w:rFonts w:ascii="Arial Narrow" w:eastAsia="Times New Roman" w:hAnsi="Arial Narrow" w:cs="Times New Roman"/>
                <w:color w:val="000000"/>
                <w:sz w:val="16"/>
                <w:szCs w:val="16"/>
                <w:lang w:eastAsia="en-AU"/>
              </w:rPr>
              <w:t>$281,000</w:t>
            </w:r>
          </w:p>
        </w:tc>
        <w:tc>
          <w:tcPr>
            <w:tcW w:w="907" w:type="dxa"/>
            <w:tcBorders>
              <w:top w:val="nil"/>
              <w:left w:val="nil"/>
              <w:bottom w:val="single" w:sz="8" w:space="0" w:color="auto"/>
              <w:right w:val="single" w:sz="8" w:space="0" w:color="auto"/>
            </w:tcBorders>
            <w:shd w:val="clear" w:color="auto" w:fill="auto"/>
            <w:vAlign w:val="center"/>
            <w:hideMark/>
          </w:tcPr>
          <w:p w:rsidR="00D02973" w:rsidRPr="0077021D" w:rsidRDefault="00D02973" w:rsidP="00DF2FAC">
            <w:pPr>
              <w:spacing w:after="0" w:line="240" w:lineRule="auto"/>
              <w:jc w:val="center"/>
              <w:rPr>
                <w:rFonts w:ascii="Arial Narrow" w:eastAsia="Times New Roman" w:hAnsi="Arial Narrow" w:cs="Times New Roman"/>
                <w:color w:val="000000"/>
                <w:sz w:val="16"/>
                <w:szCs w:val="16"/>
                <w:lang w:eastAsia="en-AU"/>
              </w:rPr>
            </w:pPr>
            <w:r w:rsidRPr="0077021D">
              <w:rPr>
                <w:rFonts w:ascii="Arial Narrow" w:eastAsia="Times New Roman" w:hAnsi="Arial Narrow" w:cs="Times New Roman"/>
                <w:color w:val="000000"/>
                <w:sz w:val="16"/>
                <w:szCs w:val="16"/>
                <w:lang w:eastAsia="en-AU"/>
              </w:rPr>
              <w:t>$292,000</w:t>
            </w:r>
          </w:p>
        </w:tc>
        <w:tc>
          <w:tcPr>
            <w:tcW w:w="907" w:type="dxa"/>
            <w:tcBorders>
              <w:top w:val="nil"/>
              <w:left w:val="nil"/>
              <w:bottom w:val="single" w:sz="8" w:space="0" w:color="auto"/>
              <w:right w:val="single" w:sz="8" w:space="0" w:color="auto"/>
            </w:tcBorders>
            <w:shd w:val="clear" w:color="auto" w:fill="auto"/>
            <w:vAlign w:val="center"/>
            <w:hideMark/>
          </w:tcPr>
          <w:p w:rsidR="00D02973" w:rsidRPr="0077021D" w:rsidRDefault="00D02973" w:rsidP="00DF2FAC">
            <w:pPr>
              <w:spacing w:after="0" w:line="240" w:lineRule="auto"/>
              <w:jc w:val="center"/>
              <w:rPr>
                <w:rFonts w:ascii="Arial Narrow" w:eastAsia="Times New Roman" w:hAnsi="Arial Narrow" w:cs="Times New Roman"/>
                <w:color w:val="000000"/>
                <w:sz w:val="16"/>
                <w:szCs w:val="16"/>
                <w:lang w:eastAsia="en-AU"/>
              </w:rPr>
            </w:pPr>
            <w:r w:rsidRPr="0077021D">
              <w:rPr>
                <w:rFonts w:ascii="Arial Narrow" w:eastAsia="Times New Roman" w:hAnsi="Arial Narrow" w:cs="Times New Roman"/>
                <w:color w:val="000000"/>
                <w:sz w:val="16"/>
                <w:szCs w:val="16"/>
                <w:lang w:eastAsia="en-AU"/>
              </w:rPr>
              <w:t>$867,000</w:t>
            </w:r>
          </w:p>
        </w:tc>
        <w:tc>
          <w:tcPr>
            <w:tcW w:w="907" w:type="dxa"/>
            <w:tcBorders>
              <w:top w:val="nil"/>
              <w:left w:val="nil"/>
              <w:bottom w:val="single" w:sz="8" w:space="0" w:color="auto"/>
              <w:right w:val="single" w:sz="8" w:space="0" w:color="auto"/>
            </w:tcBorders>
            <w:shd w:val="clear" w:color="auto" w:fill="auto"/>
            <w:vAlign w:val="center"/>
            <w:hideMark/>
          </w:tcPr>
          <w:p w:rsidR="00D02973" w:rsidRPr="0077021D" w:rsidRDefault="00D02973" w:rsidP="00DF2FAC">
            <w:pPr>
              <w:spacing w:after="0" w:line="240" w:lineRule="auto"/>
              <w:jc w:val="center"/>
              <w:rPr>
                <w:rFonts w:ascii="Arial Narrow" w:eastAsia="Times New Roman" w:hAnsi="Arial Narrow" w:cs="Times New Roman"/>
                <w:color w:val="000000"/>
                <w:sz w:val="16"/>
                <w:szCs w:val="16"/>
                <w:lang w:eastAsia="en-AU"/>
              </w:rPr>
            </w:pPr>
            <w:r w:rsidRPr="0077021D">
              <w:rPr>
                <w:rFonts w:ascii="Arial Narrow" w:eastAsia="Times New Roman" w:hAnsi="Arial Narrow" w:cs="Times New Roman"/>
                <w:color w:val="000000"/>
                <w:sz w:val="16"/>
                <w:szCs w:val="16"/>
                <w:lang w:eastAsia="en-AU"/>
              </w:rPr>
              <w:t>$903,000</w:t>
            </w:r>
          </w:p>
        </w:tc>
        <w:tc>
          <w:tcPr>
            <w:tcW w:w="907" w:type="dxa"/>
            <w:tcBorders>
              <w:top w:val="nil"/>
              <w:left w:val="nil"/>
              <w:bottom w:val="single" w:sz="8" w:space="0" w:color="auto"/>
              <w:right w:val="single" w:sz="8" w:space="0" w:color="auto"/>
            </w:tcBorders>
            <w:shd w:val="clear" w:color="auto" w:fill="auto"/>
            <w:vAlign w:val="center"/>
            <w:hideMark/>
          </w:tcPr>
          <w:p w:rsidR="00D02973" w:rsidRPr="0077021D" w:rsidRDefault="00D02973" w:rsidP="00DF2FAC">
            <w:pPr>
              <w:spacing w:after="0" w:line="240" w:lineRule="auto"/>
              <w:jc w:val="center"/>
              <w:rPr>
                <w:rFonts w:ascii="Arial Narrow" w:eastAsia="Times New Roman" w:hAnsi="Arial Narrow" w:cs="Times New Roman"/>
                <w:color w:val="000000"/>
                <w:sz w:val="16"/>
                <w:szCs w:val="16"/>
                <w:lang w:eastAsia="en-AU"/>
              </w:rPr>
            </w:pPr>
            <w:r w:rsidRPr="0077021D">
              <w:rPr>
                <w:rFonts w:ascii="Arial Narrow" w:eastAsia="Times New Roman" w:hAnsi="Arial Narrow" w:cs="Times New Roman"/>
                <w:color w:val="000000"/>
                <w:sz w:val="16"/>
                <w:szCs w:val="16"/>
                <w:lang w:eastAsia="en-AU"/>
              </w:rPr>
              <w:t>$916,000</w:t>
            </w:r>
          </w:p>
        </w:tc>
        <w:tc>
          <w:tcPr>
            <w:tcW w:w="907" w:type="dxa"/>
            <w:tcBorders>
              <w:top w:val="nil"/>
              <w:left w:val="nil"/>
              <w:bottom w:val="single" w:sz="8" w:space="0" w:color="auto"/>
              <w:right w:val="single" w:sz="8" w:space="0" w:color="auto"/>
            </w:tcBorders>
            <w:shd w:val="clear" w:color="auto" w:fill="auto"/>
            <w:vAlign w:val="center"/>
            <w:hideMark/>
          </w:tcPr>
          <w:p w:rsidR="00D02973" w:rsidRPr="0077021D" w:rsidRDefault="00D02973" w:rsidP="00DF2FAC">
            <w:pPr>
              <w:spacing w:after="0" w:line="240" w:lineRule="auto"/>
              <w:jc w:val="center"/>
              <w:rPr>
                <w:rFonts w:ascii="Arial Narrow" w:eastAsia="Times New Roman" w:hAnsi="Arial Narrow" w:cs="Times New Roman"/>
                <w:color w:val="000000"/>
                <w:sz w:val="16"/>
                <w:szCs w:val="16"/>
                <w:lang w:eastAsia="en-AU"/>
              </w:rPr>
            </w:pPr>
            <w:r w:rsidRPr="0077021D">
              <w:rPr>
                <w:rFonts w:ascii="Arial Narrow" w:eastAsia="Times New Roman" w:hAnsi="Arial Narrow" w:cs="Times New Roman"/>
                <w:color w:val="000000"/>
                <w:sz w:val="16"/>
                <w:szCs w:val="16"/>
                <w:lang w:eastAsia="en-AU"/>
              </w:rPr>
              <w:t>$913,000</w:t>
            </w:r>
          </w:p>
        </w:tc>
        <w:tc>
          <w:tcPr>
            <w:tcW w:w="907" w:type="dxa"/>
            <w:tcBorders>
              <w:top w:val="nil"/>
              <w:left w:val="nil"/>
              <w:bottom w:val="single" w:sz="8" w:space="0" w:color="auto"/>
              <w:right w:val="single" w:sz="8" w:space="0" w:color="auto"/>
            </w:tcBorders>
            <w:shd w:val="clear" w:color="auto" w:fill="auto"/>
            <w:vAlign w:val="center"/>
            <w:hideMark/>
          </w:tcPr>
          <w:p w:rsidR="00D02973" w:rsidRPr="0077021D" w:rsidRDefault="00D02973" w:rsidP="00DF2FAC">
            <w:pPr>
              <w:spacing w:after="0" w:line="240" w:lineRule="auto"/>
              <w:jc w:val="center"/>
              <w:rPr>
                <w:rFonts w:ascii="Arial Narrow" w:eastAsia="Times New Roman" w:hAnsi="Arial Narrow" w:cs="Times New Roman"/>
                <w:color w:val="000000"/>
                <w:sz w:val="16"/>
                <w:szCs w:val="16"/>
                <w:lang w:eastAsia="en-AU"/>
              </w:rPr>
            </w:pPr>
            <w:r w:rsidRPr="0077021D">
              <w:rPr>
                <w:rFonts w:ascii="Arial Narrow" w:eastAsia="Times New Roman" w:hAnsi="Arial Narrow" w:cs="Times New Roman"/>
                <w:color w:val="000000"/>
                <w:sz w:val="16"/>
                <w:szCs w:val="16"/>
                <w:lang w:eastAsia="en-AU"/>
              </w:rPr>
              <w:t>$900,000</w:t>
            </w:r>
          </w:p>
        </w:tc>
      </w:tr>
      <w:tr w:rsidR="00D02973" w:rsidRPr="0077021D" w:rsidTr="00DF2FAC">
        <w:trPr>
          <w:trHeight w:val="315"/>
        </w:trPr>
        <w:tc>
          <w:tcPr>
            <w:tcW w:w="1077" w:type="dxa"/>
            <w:tcBorders>
              <w:top w:val="nil"/>
              <w:left w:val="single" w:sz="8" w:space="0" w:color="auto"/>
              <w:bottom w:val="single" w:sz="8" w:space="0" w:color="auto"/>
              <w:right w:val="single" w:sz="8" w:space="0" w:color="auto"/>
            </w:tcBorders>
            <w:shd w:val="clear" w:color="000000" w:fill="000000"/>
            <w:vAlign w:val="center"/>
            <w:hideMark/>
          </w:tcPr>
          <w:p w:rsidR="00D02973" w:rsidRPr="0077021D" w:rsidRDefault="00D02973" w:rsidP="00DF2FAC">
            <w:pPr>
              <w:spacing w:after="0" w:line="240" w:lineRule="auto"/>
              <w:rPr>
                <w:rFonts w:ascii="Arial Narrow" w:eastAsia="Times New Roman" w:hAnsi="Arial Narrow" w:cs="Times New Roman"/>
                <w:b/>
                <w:bCs/>
                <w:color w:val="FFFFFF"/>
                <w:sz w:val="16"/>
                <w:szCs w:val="16"/>
                <w:lang w:eastAsia="en-AU"/>
              </w:rPr>
            </w:pPr>
            <w:r w:rsidRPr="0077021D">
              <w:rPr>
                <w:rFonts w:ascii="Arial Narrow" w:eastAsia="Times New Roman" w:hAnsi="Arial Narrow" w:cs="Times New Roman"/>
                <w:b/>
                <w:bCs/>
                <w:color w:val="FFFFFF"/>
                <w:sz w:val="16"/>
                <w:szCs w:val="16"/>
                <w:lang w:eastAsia="en-AU"/>
              </w:rPr>
              <w:t>Total</w:t>
            </w:r>
          </w:p>
        </w:tc>
        <w:tc>
          <w:tcPr>
            <w:tcW w:w="907" w:type="dxa"/>
            <w:tcBorders>
              <w:top w:val="nil"/>
              <w:left w:val="nil"/>
              <w:bottom w:val="single" w:sz="8" w:space="0" w:color="auto"/>
              <w:right w:val="single" w:sz="8" w:space="0" w:color="auto"/>
            </w:tcBorders>
            <w:shd w:val="clear" w:color="000000" w:fill="000000"/>
            <w:vAlign w:val="center"/>
            <w:hideMark/>
          </w:tcPr>
          <w:p w:rsidR="00D02973" w:rsidRPr="0077021D" w:rsidRDefault="00D02973" w:rsidP="00DF2FAC">
            <w:pPr>
              <w:spacing w:after="0" w:line="240" w:lineRule="auto"/>
              <w:jc w:val="center"/>
              <w:rPr>
                <w:rFonts w:ascii="Arial Narrow" w:eastAsia="Times New Roman" w:hAnsi="Arial Narrow" w:cs="Times New Roman"/>
                <w:b/>
                <w:bCs/>
                <w:color w:val="FFFFFF"/>
                <w:sz w:val="16"/>
                <w:szCs w:val="16"/>
                <w:lang w:eastAsia="en-AU"/>
              </w:rPr>
            </w:pPr>
            <w:r w:rsidRPr="0077021D">
              <w:rPr>
                <w:rFonts w:ascii="Arial Narrow" w:eastAsia="Times New Roman" w:hAnsi="Arial Narrow" w:cs="Times New Roman"/>
                <w:b/>
                <w:bCs/>
                <w:color w:val="FFFFFF"/>
                <w:sz w:val="16"/>
                <w:szCs w:val="16"/>
                <w:lang w:eastAsia="en-AU"/>
              </w:rPr>
              <w:t>$4,174,000</w:t>
            </w:r>
          </w:p>
        </w:tc>
        <w:tc>
          <w:tcPr>
            <w:tcW w:w="907" w:type="dxa"/>
            <w:tcBorders>
              <w:top w:val="nil"/>
              <w:left w:val="nil"/>
              <w:bottom w:val="single" w:sz="8" w:space="0" w:color="auto"/>
              <w:right w:val="single" w:sz="8" w:space="0" w:color="auto"/>
            </w:tcBorders>
            <w:shd w:val="clear" w:color="000000" w:fill="000000"/>
            <w:vAlign w:val="center"/>
            <w:hideMark/>
          </w:tcPr>
          <w:p w:rsidR="00D02973" w:rsidRPr="0077021D" w:rsidRDefault="00D02973" w:rsidP="00DF2FAC">
            <w:pPr>
              <w:spacing w:after="0" w:line="240" w:lineRule="auto"/>
              <w:jc w:val="center"/>
              <w:rPr>
                <w:rFonts w:ascii="Arial Narrow" w:eastAsia="Times New Roman" w:hAnsi="Arial Narrow" w:cs="Times New Roman"/>
                <w:b/>
                <w:bCs/>
                <w:color w:val="FFFFFF"/>
                <w:sz w:val="16"/>
                <w:szCs w:val="16"/>
                <w:lang w:eastAsia="en-AU"/>
              </w:rPr>
            </w:pPr>
            <w:r w:rsidRPr="0077021D">
              <w:rPr>
                <w:rFonts w:ascii="Arial Narrow" w:eastAsia="Times New Roman" w:hAnsi="Arial Narrow" w:cs="Times New Roman"/>
                <w:b/>
                <w:bCs/>
                <w:color w:val="FFFFFF"/>
                <w:sz w:val="16"/>
                <w:szCs w:val="16"/>
                <w:lang w:eastAsia="en-AU"/>
              </w:rPr>
              <w:t>$2,930,000</w:t>
            </w:r>
          </w:p>
        </w:tc>
        <w:tc>
          <w:tcPr>
            <w:tcW w:w="907" w:type="dxa"/>
            <w:tcBorders>
              <w:top w:val="nil"/>
              <w:left w:val="nil"/>
              <w:bottom w:val="single" w:sz="8" w:space="0" w:color="auto"/>
              <w:right w:val="single" w:sz="8" w:space="0" w:color="auto"/>
            </w:tcBorders>
            <w:shd w:val="clear" w:color="000000" w:fill="000000"/>
            <w:vAlign w:val="center"/>
            <w:hideMark/>
          </w:tcPr>
          <w:p w:rsidR="00D02973" w:rsidRPr="0077021D" w:rsidRDefault="00D02973" w:rsidP="00DF2FAC">
            <w:pPr>
              <w:spacing w:after="0" w:line="240" w:lineRule="auto"/>
              <w:jc w:val="center"/>
              <w:rPr>
                <w:rFonts w:ascii="Arial Narrow" w:eastAsia="Times New Roman" w:hAnsi="Arial Narrow" w:cs="Times New Roman"/>
                <w:b/>
                <w:bCs/>
                <w:color w:val="FFFFFF"/>
                <w:sz w:val="16"/>
                <w:szCs w:val="16"/>
                <w:lang w:eastAsia="en-AU"/>
              </w:rPr>
            </w:pPr>
            <w:r w:rsidRPr="0077021D">
              <w:rPr>
                <w:rFonts w:ascii="Arial Narrow" w:eastAsia="Times New Roman" w:hAnsi="Arial Narrow" w:cs="Times New Roman"/>
                <w:b/>
                <w:bCs/>
                <w:color w:val="FFFFFF"/>
                <w:sz w:val="16"/>
                <w:szCs w:val="16"/>
                <w:lang w:eastAsia="en-AU"/>
              </w:rPr>
              <w:t>$2,709,000</w:t>
            </w:r>
          </w:p>
        </w:tc>
        <w:tc>
          <w:tcPr>
            <w:tcW w:w="907" w:type="dxa"/>
            <w:tcBorders>
              <w:top w:val="nil"/>
              <w:left w:val="nil"/>
              <w:bottom w:val="single" w:sz="8" w:space="0" w:color="auto"/>
              <w:right w:val="single" w:sz="8" w:space="0" w:color="auto"/>
            </w:tcBorders>
            <w:shd w:val="clear" w:color="000000" w:fill="000000"/>
            <w:vAlign w:val="center"/>
            <w:hideMark/>
          </w:tcPr>
          <w:p w:rsidR="00D02973" w:rsidRPr="0077021D" w:rsidRDefault="00D02973" w:rsidP="00DF2FAC">
            <w:pPr>
              <w:spacing w:after="0" w:line="240" w:lineRule="auto"/>
              <w:jc w:val="center"/>
              <w:rPr>
                <w:rFonts w:ascii="Arial Narrow" w:eastAsia="Times New Roman" w:hAnsi="Arial Narrow" w:cs="Times New Roman"/>
                <w:b/>
                <w:bCs/>
                <w:color w:val="FFFFFF"/>
                <w:sz w:val="16"/>
                <w:szCs w:val="16"/>
                <w:lang w:eastAsia="en-AU"/>
              </w:rPr>
            </w:pPr>
            <w:r w:rsidRPr="0077021D">
              <w:rPr>
                <w:rFonts w:ascii="Arial Narrow" w:eastAsia="Times New Roman" w:hAnsi="Arial Narrow" w:cs="Times New Roman"/>
                <w:b/>
                <w:bCs/>
                <w:color w:val="FFFFFF"/>
                <w:sz w:val="16"/>
                <w:szCs w:val="16"/>
                <w:lang w:eastAsia="en-AU"/>
              </w:rPr>
              <w:t>$4,062,000</w:t>
            </w:r>
          </w:p>
        </w:tc>
        <w:tc>
          <w:tcPr>
            <w:tcW w:w="907" w:type="dxa"/>
            <w:tcBorders>
              <w:top w:val="nil"/>
              <w:left w:val="nil"/>
              <w:bottom w:val="single" w:sz="8" w:space="0" w:color="auto"/>
              <w:right w:val="single" w:sz="8" w:space="0" w:color="auto"/>
            </w:tcBorders>
            <w:shd w:val="clear" w:color="000000" w:fill="000000"/>
            <w:vAlign w:val="center"/>
            <w:hideMark/>
          </w:tcPr>
          <w:p w:rsidR="00D02973" w:rsidRPr="0077021D" w:rsidRDefault="00D02973" w:rsidP="00DF2FAC">
            <w:pPr>
              <w:spacing w:after="0" w:line="240" w:lineRule="auto"/>
              <w:jc w:val="center"/>
              <w:rPr>
                <w:rFonts w:ascii="Arial Narrow" w:eastAsia="Times New Roman" w:hAnsi="Arial Narrow" w:cs="Times New Roman"/>
                <w:b/>
                <w:bCs/>
                <w:color w:val="FFFFFF"/>
                <w:sz w:val="16"/>
                <w:szCs w:val="16"/>
                <w:lang w:eastAsia="en-AU"/>
              </w:rPr>
            </w:pPr>
            <w:r w:rsidRPr="0077021D">
              <w:rPr>
                <w:rFonts w:ascii="Arial Narrow" w:eastAsia="Times New Roman" w:hAnsi="Arial Narrow" w:cs="Times New Roman"/>
                <w:b/>
                <w:bCs/>
                <w:color w:val="FFFFFF"/>
                <w:sz w:val="16"/>
                <w:szCs w:val="16"/>
                <w:lang w:eastAsia="en-AU"/>
              </w:rPr>
              <w:t>$4,922,000</w:t>
            </w:r>
          </w:p>
        </w:tc>
        <w:tc>
          <w:tcPr>
            <w:tcW w:w="907" w:type="dxa"/>
            <w:tcBorders>
              <w:top w:val="nil"/>
              <w:left w:val="nil"/>
              <w:bottom w:val="single" w:sz="8" w:space="0" w:color="auto"/>
              <w:right w:val="single" w:sz="8" w:space="0" w:color="auto"/>
            </w:tcBorders>
            <w:shd w:val="clear" w:color="000000" w:fill="000000"/>
            <w:vAlign w:val="center"/>
            <w:hideMark/>
          </w:tcPr>
          <w:p w:rsidR="00D02973" w:rsidRPr="0077021D" w:rsidRDefault="00D02973" w:rsidP="00DF2FAC">
            <w:pPr>
              <w:spacing w:after="0" w:line="240" w:lineRule="auto"/>
              <w:jc w:val="center"/>
              <w:rPr>
                <w:rFonts w:ascii="Arial Narrow" w:eastAsia="Times New Roman" w:hAnsi="Arial Narrow" w:cs="Times New Roman"/>
                <w:b/>
                <w:bCs/>
                <w:color w:val="FFFFFF"/>
                <w:sz w:val="16"/>
                <w:szCs w:val="16"/>
                <w:lang w:eastAsia="en-AU"/>
              </w:rPr>
            </w:pPr>
            <w:r w:rsidRPr="0077021D">
              <w:rPr>
                <w:rFonts w:ascii="Arial Narrow" w:eastAsia="Times New Roman" w:hAnsi="Arial Narrow" w:cs="Times New Roman"/>
                <w:b/>
                <w:bCs/>
                <w:color w:val="FFFFFF"/>
                <w:sz w:val="16"/>
                <w:szCs w:val="16"/>
                <w:lang w:eastAsia="en-AU"/>
              </w:rPr>
              <w:t>$4,426,000</w:t>
            </w:r>
          </w:p>
        </w:tc>
        <w:tc>
          <w:tcPr>
            <w:tcW w:w="907" w:type="dxa"/>
            <w:tcBorders>
              <w:top w:val="nil"/>
              <w:left w:val="nil"/>
              <w:bottom w:val="single" w:sz="8" w:space="0" w:color="auto"/>
              <w:right w:val="single" w:sz="8" w:space="0" w:color="auto"/>
            </w:tcBorders>
            <w:shd w:val="clear" w:color="000000" w:fill="000000"/>
            <w:vAlign w:val="center"/>
            <w:hideMark/>
          </w:tcPr>
          <w:p w:rsidR="00D02973" w:rsidRPr="0077021D" w:rsidRDefault="00D02973" w:rsidP="00DF2FAC">
            <w:pPr>
              <w:spacing w:after="0" w:line="240" w:lineRule="auto"/>
              <w:jc w:val="center"/>
              <w:rPr>
                <w:rFonts w:ascii="Arial Narrow" w:eastAsia="Times New Roman" w:hAnsi="Arial Narrow" w:cs="Times New Roman"/>
                <w:b/>
                <w:bCs/>
                <w:color w:val="FFFFFF"/>
                <w:sz w:val="16"/>
                <w:szCs w:val="16"/>
                <w:lang w:eastAsia="en-AU"/>
              </w:rPr>
            </w:pPr>
            <w:r w:rsidRPr="0077021D">
              <w:rPr>
                <w:rFonts w:ascii="Arial Narrow" w:eastAsia="Times New Roman" w:hAnsi="Arial Narrow" w:cs="Times New Roman"/>
                <w:b/>
                <w:bCs/>
                <w:color w:val="FFFFFF"/>
                <w:sz w:val="16"/>
                <w:szCs w:val="16"/>
                <w:lang w:eastAsia="en-AU"/>
              </w:rPr>
              <w:t>$4,608,000</w:t>
            </w:r>
          </w:p>
        </w:tc>
        <w:tc>
          <w:tcPr>
            <w:tcW w:w="907" w:type="dxa"/>
            <w:tcBorders>
              <w:top w:val="nil"/>
              <w:left w:val="nil"/>
              <w:bottom w:val="single" w:sz="8" w:space="0" w:color="auto"/>
              <w:right w:val="single" w:sz="8" w:space="0" w:color="auto"/>
            </w:tcBorders>
            <w:shd w:val="clear" w:color="000000" w:fill="000000"/>
            <w:vAlign w:val="center"/>
            <w:hideMark/>
          </w:tcPr>
          <w:p w:rsidR="00D02973" w:rsidRPr="0077021D" w:rsidRDefault="00D02973" w:rsidP="00DF2FAC">
            <w:pPr>
              <w:spacing w:after="0" w:line="240" w:lineRule="auto"/>
              <w:jc w:val="center"/>
              <w:rPr>
                <w:rFonts w:ascii="Arial Narrow" w:eastAsia="Times New Roman" w:hAnsi="Arial Narrow" w:cs="Times New Roman"/>
                <w:b/>
                <w:bCs/>
                <w:color w:val="FFFFFF"/>
                <w:sz w:val="16"/>
                <w:szCs w:val="16"/>
                <w:lang w:eastAsia="en-AU"/>
              </w:rPr>
            </w:pPr>
            <w:r w:rsidRPr="0077021D">
              <w:rPr>
                <w:rFonts w:ascii="Arial Narrow" w:eastAsia="Times New Roman" w:hAnsi="Arial Narrow" w:cs="Times New Roman"/>
                <w:b/>
                <w:bCs/>
                <w:color w:val="FFFFFF"/>
                <w:sz w:val="16"/>
                <w:szCs w:val="16"/>
                <w:lang w:eastAsia="en-AU"/>
              </w:rPr>
              <w:t>$4,691,000</w:t>
            </w:r>
          </w:p>
        </w:tc>
        <w:tc>
          <w:tcPr>
            <w:tcW w:w="907" w:type="dxa"/>
            <w:tcBorders>
              <w:top w:val="nil"/>
              <w:left w:val="nil"/>
              <w:bottom w:val="single" w:sz="8" w:space="0" w:color="auto"/>
              <w:right w:val="single" w:sz="8" w:space="0" w:color="auto"/>
            </w:tcBorders>
            <w:shd w:val="clear" w:color="000000" w:fill="000000"/>
            <w:vAlign w:val="center"/>
            <w:hideMark/>
          </w:tcPr>
          <w:p w:rsidR="00D02973" w:rsidRPr="0077021D" w:rsidRDefault="00D02973" w:rsidP="00DF2FAC">
            <w:pPr>
              <w:spacing w:after="0" w:line="240" w:lineRule="auto"/>
              <w:jc w:val="center"/>
              <w:rPr>
                <w:rFonts w:ascii="Arial Narrow" w:eastAsia="Times New Roman" w:hAnsi="Arial Narrow" w:cs="Times New Roman"/>
                <w:b/>
                <w:bCs/>
                <w:color w:val="FFFFFF"/>
                <w:sz w:val="16"/>
                <w:szCs w:val="16"/>
                <w:lang w:eastAsia="en-AU"/>
              </w:rPr>
            </w:pPr>
            <w:r w:rsidRPr="0077021D">
              <w:rPr>
                <w:rFonts w:ascii="Arial Narrow" w:eastAsia="Times New Roman" w:hAnsi="Arial Narrow" w:cs="Times New Roman"/>
                <w:b/>
                <w:bCs/>
                <w:color w:val="FFFFFF"/>
                <w:sz w:val="16"/>
                <w:szCs w:val="16"/>
                <w:lang w:eastAsia="en-AU"/>
              </w:rPr>
              <w:t>$4,722,000</w:t>
            </w:r>
          </w:p>
        </w:tc>
        <w:tc>
          <w:tcPr>
            <w:tcW w:w="907" w:type="dxa"/>
            <w:tcBorders>
              <w:top w:val="nil"/>
              <w:left w:val="nil"/>
              <w:bottom w:val="single" w:sz="8" w:space="0" w:color="auto"/>
              <w:right w:val="single" w:sz="8" w:space="0" w:color="auto"/>
            </w:tcBorders>
            <w:shd w:val="clear" w:color="000000" w:fill="000000"/>
            <w:vAlign w:val="center"/>
            <w:hideMark/>
          </w:tcPr>
          <w:p w:rsidR="00D02973" w:rsidRPr="0077021D" w:rsidRDefault="00D02973" w:rsidP="00DF2FAC">
            <w:pPr>
              <w:spacing w:after="0" w:line="240" w:lineRule="auto"/>
              <w:jc w:val="center"/>
              <w:rPr>
                <w:rFonts w:ascii="Arial Narrow" w:eastAsia="Times New Roman" w:hAnsi="Arial Narrow" w:cs="Times New Roman"/>
                <w:b/>
                <w:bCs/>
                <w:color w:val="FFFFFF"/>
                <w:sz w:val="16"/>
                <w:szCs w:val="16"/>
                <w:lang w:eastAsia="en-AU"/>
              </w:rPr>
            </w:pPr>
            <w:r w:rsidRPr="0077021D">
              <w:rPr>
                <w:rFonts w:ascii="Arial Narrow" w:eastAsia="Times New Roman" w:hAnsi="Arial Narrow" w:cs="Times New Roman"/>
                <w:b/>
                <w:bCs/>
                <w:color w:val="FFFFFF"/>
                <w:sz w:val="16"/>
                <w:szCs w:val="16"/>
                <w:lang w:eastAsia="en-AU"/>
              </w:rPr>
              <w:t>$4,742,000</w:t>
            </w:r>
          </w:p>
        </w:tc>
      </w:tr>
    </w:tbl>
    <w:p w:rsidR="00D02973" w:rsidRDefault="00D02973" w:rsidP="00D02973">
      <w:pPr>
        <w:rPr>
          <w:b/>
          <w:bCs/>
        </w:rPr>
      </w:pPr>
    </w:p>
    <w:p w:rsidR="00D02973" w:rsidRPr="0077021D" w:rsidRDefault="00D02973" w:rsidP="00D02973">
      <w:pPr>
        <w:rPr>
          <w:b/>
        </w:rPr>
      </w:pPr>
      <w:r>
        <w:rPr>
          <w:b/>
        </w:rPr>
        <w:t>Table 15</w:t>
      </w:r>
      <w:r w:rsidRPr="00EA2F26">
        <w:rPr>
          <w:b/>
        </w:rPr>
        <w:t xml:space="preserve">. </w:t>
      </w:r>
      <w:r>
        <w:rPr>
          <w:b/>
        </w:rPr>
        <w:t xml:space="preserve">Recreation and </w:t>
      </w:r>
      <w:r w:rsidRPr="00EA2F26">
        <w:rPr>
          <w:b/>
        </w:rPr>
        <w:t>Open Space Capital Works Budgets 2015/16-2024/25</w:t>
      </w:r>
      <w:r>
        <w:rPr>
          <w:b/>
        </w:rPr>
        <w:t xml:space="preserve"> (new)</w:t>
      </w:r>
    </w:p>
    <w:tbl>
      <w:tblPr>
        <w:tblW w:w="10147" w:type="dxa"/>
        <w:tblLook w:val="04A0" w:firstRow="1" w:lastRow="0" w:firstColumn="1" w:lastColumn="0" w:noHBand="0" w:noVBand="1"/>
      </w:tblPr>
      <w:tblGrid>
        <w:gridCol w:w="1077"/>
        <w:gridCol w:w="907"/>
        <w:gridCol w:w="907"/>
        <w:gridCol w:w="907"/>
        <w:gridCol w:w="907"/>
        <w:gridCol w:w="907"/>
        <w:gridCol w:w="907"/>
        <w:gridCol w:w="907"/>
        <w:gridCol w:w="907"/>
        <w:gridCol w:w="907"/>
        <w:gridCol w:w="907"/>
      </w:tblGrid>
      <w:tr w:rsidR="00D02973" w:rsidRPr="0077021D" w:rsidTr="00DF2FAC">
        <w:trPr>
          <w:trHeight w:val="315"/>
        </w:trPr>
        <w:tc>
          <w:tcPr>
            <w:tcW w:w="1077" w:type="dxa"/>
            <w:tcBorders>
              <w:top w:val="single" w:sz="8" w:space="0" w:color="auto"/>
              <w:left w:val="single" w:sz="8" w:space="0" w:color="auto"/>
              <w:bottom w:val="single" w:sz="8" w:space="0" w:color="auto"/>
              <w:right w:val="single" w:sz="8" w:space="0" w:color="auto"/>
            </w:tcBorders>
            <w:shd w:val="clear" w:color="000000" w:fill="000000"/>
            <w:vAlign w:val="center"/>
            <w:hideMark/>
          </w:tcPr>
          <w:p w:rsidR="00D02973" w:rsidRPr="0077021D" w:rsidRDefault="00D02973" w:rsidP="00DF2FAC">
            <w:pPr>
              <w:spacing w:after="0" w:line="240" w:lineRule="auto"/>
              <w:rPr>
                <w:rFonts w:ascii="Arial Narrow" w:eastAsia="Times New Roman" w:hAnsi="Arial Narrow" w:cs="Times New Roman"/>
                <w:b/>
                <w:bCs/>
                <w:color w:val="FFFFFF"/>
                <w:sz w:val="16"/>
                <w:szCs w:val="18"/>
                <w:lang w:eastAsia="en-AU"/>
              </w:rPr>
            </w:pPr>
            <w:r w:rsidRPr="0077021D">
              <w:rPr>
                <w:rFonts w:ascii="Arial Narrow" w:eastAsia="Times New Roman" w:hAnsi="Arial Narrow" w:cs="Times New Roman"/>
                <w:b/>
                <w:bCs/>
                <w:color w:val="FFFFFF"/>
                <w:sz w:val="16"/>
                <w:szCs w:val="18"/>
                <w:lang w:eastAsia="en-AU"/>
              </w:rPr>
              <w:t>New</w:t>
            </w:r>
          </w:p>
        </w:tc>
        <w:tc>
          <w:tcPr>
            <w:tcW w:w="907" w:type="dxa"/>
            <w:tcBorders>
              <w:top w:val="single" w:sz="8" w:space="0" w:color="auto"/>
              <w:left w:val="nil"/>
              <w:bottom w:val="single" w:sz="8" w:space="0" w:color="auto"/>
              <w:right w:val="single" w:sz="8" w:space="0" w:color="auto"/>
            </w:tcBorders>
            <w:shd w:val="clear" w:color="000000" w:fill="000000"/>
            <w:vAlign w:val="center"/>
            <w:hideMark/>
          </w:tcPr>
          <w:p w:rsidR="00D02973" w:rsidRPr="0077021D" w:rsidRDefault="00D02973" w:rsidP="00DF2FAC">
            <w:pPr>
              <w:spacing w:after="0" w:line="240" w:lineRule="auto"/>
              <w:jc w:val="center"/>
              <w:rPr>
                <w:rFonts w:ascii="Arial Narrow" w:eastAsia="Times New Roman" w:hAnsi="Arial Narrow" w:cs="Times New Roman"/>
                <w:b/>
                <w:bCs/>
                <w:color w:val="FFFFFF"/>
                <w:sz w:val="16"/>
                <w:szCs w:val="18"/>
                <w:lang w:eastAsia="en-AU"/>
              </w:rPr>
            </w:pPr>
            <w:r w:rsidRPr="0077021D">
              <w:rPr>
                <w:rFonts w:ascii="Arial Narrow" w:eastAsia="Times New Roman" w:hAnsi="Arial Narrow" w:cs="Times New Roman"/>
                <w:b/>
                <w:bCs/>
                <w:color w:val="FFFFFF"/>
                <w:sz w:val="16"/>
                <w:szCs w:val="18"/>
                <w:lang w:eastAsia="en-AU"/>
              </w:rPr>
              <w:t>2015/16</w:t>
            </w:r>
          </w:p>
        </w:tc>
        <w:tc>
          <w:tcPr>
            <w:tcW w:w="907" w:type="dxa"/>
            <w:tcBorders>
              <w:top w:val="single" w:sz="8" w:space="0" w:color="auto"/>
              <w:left w:val="nil"/>
              <w:bottom w:val="single" w:sz="8" w:space="0" w:color="auto"/>
              <w:right w:val="single" w:sz="8" w:space="0" w:color="auto"/>
            </w:tcBorders>
            <w:shd w:val="clear" w:color="000000" w:fill="000000"/>
            <w:vAlign w:val="center"/>
            <w:hideMark/>
          </w:tcPr>
          <w:p w:rsidR="00D02973" w:rsidRPr="0077021D" w:rsidRDefault="00D02973" w:rsidP="00DF2FAC">
            <w:pPr>
              <w:spacing w:after="0" w:line="240" w:lineRule="auto"/>
              <w:jc w:val="center"/>
              <w:rPr>
                <w:rFonts w:ascii="Arial Narrow" w:eastAsia="Times New Roman" w:hAnsi="Arial Narrow" w:cs="Times New Roman"/>
                <w:b/>
                <w:bCs/>
                <w:color w:val="FFFFFF"/>
                <w:sz w:val="16"/>
                <w:szCs w:val="18"/>
                <w:lang w:eastAsia="en-AU"/>
              </w:rPr>
            </w:pPr>
            <w:r w:rsidRPr="0077021D">
              <w:rPr>
                <w:rFonts w:ascii="Arial Narrow" w:eastAsia="Times New Roman" w:hAnsi="Arial Narrow" w:cs="Times New Roman"/>
                <w:b/>
                <w:bCs/>
                <w:color w:val="FFFFFF"/>
                <w:sz w:val="16"/>
                <w:szCs w:val="18"/>
                <w:lang w:eastAsia="en-AU"/>
              </w:rPr>
              <w:t>2016/17</w:t>
            </w:r>
          </w:p>
        </w:tc>
        <w:tc>
          <w:tcPr>
            <w:tcW w:w="907" w:type="dxa"/>
            <w:tcBorders>
              <w:top w:val="single" w:sz="8" w:space="0" w:color="auto"/>
              <w:left w:val="nil"/>
              <w:bottom w:val="single" w:sz="8" w:space="0" w:color="auto"/>
              <w:right w:val="single" w:sz="8" w:space="0" w:color="auto"/>
            </w:tcBorders>
            <w:shd w:val="clear" w:color="000000" w:fill="000000"/>
            <w:vAlign w:val="center"/>
            <w:hideMark/>
          </w:tcPr>
          <w:p w:rsidR="00D02973" w:rsidRPr="0077021D" w:rsidRDefault="00D02973" w:rsidP="00DF2FAC">
            <w:pPr>
              <w:spacing w:after="0" w:line="240" w:lineRule="auto"/>
              <w:jc w:val="center"/>
              <w:rPr>
                <w:rFonts w:ascii="Arial Narrow" w:eastAsia="Times New Roman" w:hAnsi="Arial Narrow" w:cs="Times New Roman"/>
                <w:b/>
                <w:bCs/>
                <w:color w:val="FFFFFF"/>
                <w:sz w:val="16"/>
                <w:szCs w:val="18"/>
                <w:lang w:eastAsia="en-AU"/>
              </w:rPr>
            </w:pPr>
            <w:r w:rsidRPr="0077021D">
              <w:rPr>
                <w:rFonts w:ascii="Arial Narrow" w:eastAsia="Times New Roman" w:hAnsi="Arial Narrow" w:cs="Times New Roman"/>
                <w:b/>
                <w:bCs/>
                <w:color w:val="FFFFFF"/>
                <w:sz w:val="16"/>
                <w:szCs w:val="18"/>
                <w:lang w:eastAsia="en-AU"/>
              </w:rPr>
              <w:t>2017/18</w:t>
            </w:r>
          </w:p>
        </w:tc>
        <w:tc>
          <w:tcPr>
            <w:tcW w:w="907" w:type="dxa"/>
            <w:tcBorders>
              <w:top w:val="single" w:sz="8" w:space="0" w:color="auto"/>
              <w:left w:val="nil"/>
              <w:bottom w:val="single" w:sz="8" w:space="0" w:color="auto"/>
              <w:right w:val="single" w:sz="8" w:space="0" w:color="auto"/>
            </w:tcBorders>
            <w:shd w:val="clear" w:color="000000" w:fill="000000"/>
            <w:vAlign w:val="center"/>
            <w:hideMark/>
          </w:tcPr>
          <w:p w:rsidR="00D02973" w:rsidRPr="0077021D" w:rsidRDefault="00D02973" w:rsidP="00DF2FAC">
            <w:pPr>
              <w:spacing w:after="0" w:line="240" w:lineRule="auto"/>
              <w:jc w:val="center"/>
              <w:rPr>
                <w:rFonts w:ascii="Arial Narrow" w:eastAsia="Times New Roman" w:hAnsi="Arial Narrow" w:cs="Times New Roman"/>
                <w:b/>
                <w:bCs/>
                <w:color w:val="FFFFFF"/>
                <w:sz w:val="16"/>
                <w:szCs w:val="18"/>
                <w:lang w:eastAsia="en-AU"/>
              </w:rPr>
            </w:pPr>
            <w:r w:rsidRPr="0077021D">
              <w:rPr>
                <w:rFonts w:ascii="Arial Narrow" w:eastAsia="Times New Roman" w:hAnsi="Arial Narrow" w:cs="Times New Roman"/>
                <w:b/>
                <w:bCs/>
                <w:color w:val="FFFFFF"/>
                <w:sz w:val="16"/>
                <w:szCs w:val="18"/>
                <w:lang w:eastAsia="en-AU"/>
              </w:rPr>
              <w:t>2018/19</w:t>
            </w:r>
          </w:p>
        </w:tc>
        <w:tc>
          <w:tcPr>
            <w:tcW w:w="907" w:type="dxa"/>
            <w:tcBorders>
              <w:top w:val="single" w:sz="8" w:space="0" w:color="auto"/>
              <w:left w:val="nil"/>
              <w:bottom w:val="single" w:sz="8" w:space="0" w:color="auto"/>
              <w:right w:val="single" w:sz="8" w:space="0" w:color="auto"/>
            </w:tcBorders>
            <w:shd w:val="clear" w:color="000000" w:fill="000000"/>
            <w:vAlign w:val="center"/>
            <w:hideMark/>
          </w:tcPr>
          <w:p w:rsidR="00D02973" w:rsidRPr="0077021D" w:rsidRDefault="00D02973" w:rsidP="00DF2FAC">
            <w:pPr>
              <w:spacing w:after="0" w:line="240" w:lineRule="auto"/>
              <w:jc w:val="center"/>
              <w:rPr>
                <w:rFonts w:ascii="Arial Narrow" w:eastAsia="Times New Roman" w:hAnsi="Arial Narrow" w:cs="Times New Roman"/>
                <w:b/>
                <w:bCs/>
                <w:color w:val="FFFFFF"/>
                <w:sz w:val="16"/>
                <w:szCs w:val="18"/>
                <w:lang w:eastAsia="en-AU"/>
              </w:rPr>
            </w:pPr>
            <w:r w:rsidRPr="0077021D">
              <w:rPr>
                <w:rFonts w:ascii="Arial Narrow" w:eastAsia="Times New Roman" w:hAnsi="Arial Narrow" w:cs="Times New Roman"/>
                <w:b/>
                <w:bCs/>
                <w:color w:val="FFFFFF"/>
                <w:sz w:val="16"/>
                <w:szCs w:val="18"/>
                <w:lang w:eastAsia="en-AU"/>
              </w:rPr>
              <w:t>2019/20</w:t>
            </w:r>
          </w:p>
        </w:tc>
        <w:tc>
          <w:tcPr>
            <w:tcW w:w="907" w:type="dxa"/>
            <w:tcBorders>
              <w:top w:val="single" w:sz="8" w:space="0" w:color="auto"/>
              <w:left w:val="nil"/>
              <w:bottom w:val="single" w:sz="8" w:space="0" w:color="auto"/>
              <w:right w:val="single" w:sz="8" w:space="0" w:color="auto"/>
            </w:tcBorders>
            <w:shd w:val="clear" w:color="000000" w:fill="000000"/>
            <w:vAlign w:val="center"/>
            <w:hideMark/>
          </w:tcPr>
          <w:p w:rsidR="00D02973" w:rsidRPr="0077021D" w:rsidRDefault="00D02973" w:rsidP="00DF2FAC">
            <w:pPr>
              <w:spacing w:after="0" w:line="240" w:lineRule="auto"/>
              <w:jc w:val="center"/>
              <w:rPr>
                <w:rFonts w:ascii="Arial Narrow" w:eastAsia="Times New Roman" w:hAnsi="Arial Narrow" w:cs="Times New Roman"/>
                <w:b/>
                <w:bCs/>
                <w:color w:val="FFFFFF"/>
                <w:sz w:val="16"/>
                <w:szCs w:val="18"/>
                <w:lang w:eastAsia="en-AU"/>
              </w:rPr>
            </w:pPr>
            <w:r w:rsidRPr="0077021D">
              <w:rPr>
                <w:rFonts w:ascii="Arial Narrow" w:eastAsia="Times New Roman" w:hAnsi="Arial Narrow" w:cs="Times New Roman"/>
                <w:b/>
                <w:bCs/>
                <w:color w:val="FFFFFF"/>
                <w:sz w:val="16"/>
                <w:szCs w:val="18"/>
                <w:lang w:eastAsia="en-AU"/>
              </w:rPr>
              <w:t>2020/21</w:t>
            </w:r>
          </w:p>
        </w:tc>
        <w:tc>
          <w:tcPr>
            <w:tcW w:w="907" w:type="dxa"/>
            <w:tcBorders>
              <w:top w:val="single" w:sz="8" w:space="0" w:color="auto"/>
              <w:left w:val="nil"/>
              <w:bottom w:val="single" w:sz="8" w:space="0" w:color="auto"/>
              <w:right w:val="single" w:sz="8" w:space="0" w:color="auto"/>
            </w:tcBorders>
            <w:shd w:val="clear" w:color="000000" w:fill="000000"/>
            <w:vAlign w:val="center"/>
            <w:hideMark/>
          </w:tcPr>
          <w:p w:rsidR="00D02973" w:rsidRPr="0077021D" w:rsidRDefault="00D02973" w:rsidP="00DF2FAC">
            <w:pPr>
              <w:spacing w:after="0" w:line="240" w:lineRule="auto"/>
              <w:jc w:val="center"/>
              <w:rPr>
                <w:rFonts w:ascii="Arial Narrow" w:eastAsia="Times New Roman" w:hAnsi="Arial Narrow" w:cs="Times New Roman"/>
                <w:b/>
                <w:bCs/>
                <w:color w:val="FFFFFF"/>
                <w:sz w:val="16"/>
                <w:szCs w:val="18"/>
                <w:lang w:eastAsia="en-AU"/>
              </w:rPr>
            </w:pPr>
            <w:r w:rsidRPr="0077021D">
              <w:rPr>
                <w:rFonts w:ascii="Arial Narrow" w:eastAsia="Times New Roman" w:hAnsi="Arial Narrow" w:cs="Times New Roman"/>
                <w:b/>
                <w:bCs/>
                <w:color w:val="FFFFFF"/>
                <w:sz w:val="16"/>
                <w:szCs w:val="18"/>
                <w:lang w:eastAsia="en-AU"/>
              </w:rPr>
              <w:t>2021/22</w:t>
            </w:r>
          </w:p>
        </w:tc>
        <w:tc>
          <w:tcPr>
            <w:tcW w:w="907" w:type="dxa"/>
            <w:tcBorders>
              <w:top w:val="single" w:sz="8" w:space="0" w:color="auto"/>
              <w:left w:val="nil"/>
              <w:bottom w:val="single" w:sz="8" w:space="0" w:color="auto"/>
              <w:right w:val="single" w:sz="8" w:space="0" w:color="auto"/>
            </w:tcBorders>
            <w:shd w:val="clear" w:color="000000" w:fill="000000"/>
            <w:vAlign w:val="center"/>
            <w:hideMark/>
          </w:tcPr>
          <w:p w:rsidR="00D02973" w:rsidRPr="0077021D" w:rsidRDefault="00D02973" w:rsidP="00DF2FAC">
            <w:pPr>
              <w:spacing w:after="0" w:line="240" w:lineRule="auto"/>
              <w:jc w:val="center"/>
              <w:rPr>
                <w:rFonts w:ascii="Arial Narrow" w:eastAsia="Times New Roman" w:hAnsi="Arial Narrow" w:cs="Times New Roman"/>
                <w:b/>
                <w:bCs/>
                <w:color w:val="FFFFFF"/>
                <w:sz w:val="16"/>
                <w:szCs w:val="18"/>
                <w:lang w:eastAsia="en-AU"/>
              </w:rPr>
            </w:pPr>
            <w:r w:rsidRPr="0077021D">
              <w:rPr>
                <w:rFonts w:ascii="Arial Narrow" w:eastAsia="Times New Roman" w:hAnsi="Arial Narrow" w:cs="Times New Roman"/>
                <w:b/>
                <w:bCs/>
                <w:color w:val="FFFFFF"/>
                <w:sz w:val="16"/>
                <w:szCs w:val="18"/>
                <w:lang w:eastAsia="en-AU"/>
              </w:rPr>
              <w:t>2022/23</w:t>
            </w:r>
          </w:p>
        </w:tc>
        <w:tc>
          <w:tcPr>
            <w:tcW w:w="907" w:type="dxa"/>
            <w:tcBorders>
              <w:top w:val="single" w:sz="8" w:space="0" w:color="auto"/>
              <w:left w:val="nil"/>
              <w:bottom w:val="single" w:sz="8" w:space="0" w:color="auto"/>
              <w:right w:val="single" w:sz="8" w:space="0" w:color="auto"/>
            </w:tcBorders>
            <w:shd w:val="clear" w:color="000000" w:fill="000000"/>
            <w:vAlign w:val="center"/>
            <w:hideMark/>
          </w:tcPr>
          <w:p w:rsidR="00D02973" w:rsidRPr="0077021D" w:rsidRDefault="00D02973" w:rsidP="00DF2FAC">
            <w:pPr>
              <w:spacing w:after="0" w:line="240" w:lineRule="auto"/>
              <w:jc w:val="center"/>
              <w:rPr>
                <w:rFonts w:ascii="Arial Narrow" w:eastAsia="Times New Roman" w:hAnsi="Arial Narrow" w:cs="Times New Roman"/>
                <w:b/>
                <w:bCs/>
                <w:color w:val="FFFFFF"/>
                <w:sz w:val="16"/>
                <w:szCs w:val="18"/>
                <w:lang w:eastAsia="en-AU"/>
              </w:rPr>
            </w:pPr>
            <w:r w:rsidRPr="0077021D">
              <w:rPr>
                <w:rFonts w:ascii="Arial Narrow" w:eastAsia="Times New Roman" w:hAnsi="Arial Narrow" w:cs="Times New Roman"/>
                <w:b/>
                <w:bCs/>
                <w:color w:val="FFFFFF"/>
                <w:sz w:val="16"/>
                <w:szCs w:val="18"/>
                <w:lang w:eastAsia="en-AU"/>
              </w:rPr>
              <w:t>2023/24</w:t>
            </w:r>
          </w:p>
        </w:tc>
        <w:tc>
          <w:tcPr>
            <w:tcW w:w="907" w:type="dxa"/>
            <w:tcBorders>
              <w:top w:val="single" w:sz="8" w:space="0" w:color="auto"/>
              <w:left w:val="nil"/>
              <w:bottom w:val="single" w:sz="8" w:space="0" w:color="auto"/>
              <w:right w:val="single" w:sz="8" w:space="0" w:color="auto"/>
            </w:tcBorders>
            <w:shd w:val="clear" w:color="000000" w:fill="000000"/>
            <w:vAlign w:val="center"/>
            <w:hideMark/>
          </w:tcPr>
          <w:p w:rsidR="00D02973" w:rsidRPr="0077021D" w:rsidRDefault="00D02973" w:rsidP="00DF2FAC">
            <w:pPr>
              <w:spacing w:after="0" w:line="240" w:lineRule="auto"/>
              <w:jc w:val="center"/>
              <w:rPr>
                <w:rFonts w:ascii="Arial Narrow" w:eastAsia="Times New Roman" w:hAnsi="Arial Narrow" w:cs="Times New Roman"/>
                <w:b/>
                <w:bCs/>
                <w:color w:val="FFFFFF"/>
                <w:sz w:val="16"/>
                <w:szCs w:val="18"/>
                <w:lang w:eastAsia="en-AU"/>
              </w:rPr>
            </w:pPr>
            <w:r w:rsidRPr="0077021D">
              <w:rPr>
                <w:rFonts w:ascii="Arial Narrow" w:eastAsia="Times New Roman" w:hAnsi="Arial Narrow" w:cs="Times New Roman"/>
                <w:b/>
                <w:bCs/>
                <w:color w:val="FFFFFF"/>
                <w:sz w:val="16"/>
                <w:szCs w:val="18"/>
                <w:lang w:eastAsia="en-AU"/>
              </w:rPr>
              <w:t>2024/25</w:t>
            </w:r>
          </w:p>
        </w:tc>
      </w:tr>
      <w:tr w:rsidR="00D02973" w:rsidRPr="0077021D" w:rsidTr="00DF2FAC">
        <w:trPr>
          <w:trHeight w:val="555"/>
        </w:trPr>
        <w:tc>
          <w:tcPr>
            <w:tcW w:w="1077" w:type="dxa"/>
            <w:tcBorders>
              <w:top w:val="nil"/>
              <w:left w:val="single" w:sz="8" w:space="0" w:color="auto"/>
              <w:bottom w:val="single" w:sz="8" w:space="0" w:color="auto"/>
              <w:right w:val="single" w:sz="8" w:space="0" w:color="auto"/>
            </w:tcBorders>
            <w:shd w:val="clear" w:color="auto" w:fill="auto"/>
            <w:vAlign w:val="center"/>
            <w:hideMark/>
          </w:tcPr>
          <w:p w:rsidR="00D02973" w:rsidRPr="0077021D" w:rsidRDefault="00D02973" w:rsidP="00DF2FAC">
            <w:pPr>
              <w:spacing w:after="0" w:line="240" w:lineRule="auto"/>
              <w:rPr>
                <w:rFonts w:ascii="Arial Narrow" w:eastAsia="Times New Roman" w:hAnsi="Arial Narrow" w:cs="Times New Roman"/>
                <w:color w:val="000000"/>
                <w:sz w:val="16"/>
                <w:szCs w:val="18"/>
                <w:lang w:eastAsia="en-AU"/>
              </w:rPr>
            </w:pPr>
            <w:r w:rsidRPr="0077021D">
              <w:rPr>
                <w:rFonts w:ascii="Arial Narrow" w:eastAsia="Times New Roman" w:hAnsi="Arial Narrow" w:cs="Times New Roman"/>
                <w:color w:val="000000"/>
                <w:sz w:val="16"/>
                <w:szCs w:val="18"/>
                <w:lang w:eastAsia="en-AU"/>
              </w:rPr>
              <w:t>Foreshore and conservation</w:t>
            </w:r>
          </w:p>
        </w:tc>
        <w:tc>
          <w:tcPr>
            <w:tcW w:w="907" w:type="dxa"/>
            <w:tcBorders>
              <w:top w:val="nil"/>
              <w:left w:val="nil"/>
              <w:bottom w:val="single" w:sz="8" w:space="0" w:color="auto"/>
              <w:right w:val="single" w:sz="8" w:space="0" w:color="auto"/>
            </w:tcBorders>
            <w:shd w:val="clear" w:color="auto" w:fill="auto"/>
            <w:vAlign w:val="center"/>
            <w:hideMark/>
          </w:tcPr>
          <w:p w:rsidR="00D02973" w:rsidRPr="0077021D" w:rsidRDefault="00D02973" w:rsidP="00DF2FAC">
            <w:pPr>
              <w:spacing w:after="0" w:line="240" w:lineRule="auto"/>
              <w:jc w:val="center"/>
              <w:rPr>
                <w:rFonts w:ascii="Arial Narrow" w:eastAsia="Times New Roman" w:hAnsi="Arial Narrow" w:cs="Times New Roman"/>
                <w:color w:val="000000"/>
                <w:sz w:val="16"/>
                <w:szCs w:val="18"/>
                <w:lang w:eastAsia="en-AU"/>
              </w:rPr>
            </w:pPr>
            <w:r w:rsidRPr="0077021D">
              <w:rPr>
                <w:rFonts w:ascii="Arial Narrow" w:eastAsia="Times New Roman" w:hAnsi="Arial Narrow" w:cs="Times New Roman"/>
                <w:color w:val="000000"/>
                <w:sz w:val="16"/>
                <w:szCs w:val="18"/>
                <w:lang w:eastAsia="en-AU"/>
              </w:rPr>
              <w:t>$2,125,000</w:t>
            </w:r>
          </w:p>
        </w:tc>
        <w:tc>
          <w:tcPr>
            <w:tcW w:w="907" w:type="dxa"/>
            <w:tcBorders>
              <w:top w:val="nil"/>
              <w:left w:val="nil"/>
              <w:bottom w:val="single" w:sz="8" w:space="0" w:color="auto"/>
              <w:right w:val="single" w:sz="8" w:space="0" w:color="auto"/>
            </w:tcBorders>
            <w:shd w:val="clear" w:color="auto" w:fill="auto"/>
            <w:vAlign w:val="center"/>
            <w:hideMark/>
          </w:tcPr>
          <w:p w:rsidR="00D02973" w:rsidRPr="0077021D" w:rsidRDefault="00D02973" w:rsidP="00DF2FAC">
            <w:pPr>
              <w:spacing w:after="0" w:line="240" w:lineRule="auto"/>
              <w:jc w:val="center"/>
              <w:rPr>
                <w:rFonts w:ascii="Arial Narrow" w:eastAsia="Times New Roman" w:hAnsi="Arial Narrow" w:cs="Times New Roman"/>
                <w:color w:val="000000"/>
                <w:sz w:val="16"/>
                <w:szCs w:val="18"/>
                <w:lang w:eastAsia="en-AU"/>
              </w:rPr>
            </w:pPr>
            <w:r w:rsidRPr="0077021D">
              <w:rPr>
                <w:rFonts w:ascii="Arial Narrow" w:eastAsia="Times New Roman" w:hAnsi="Arial Narrow" w:cs="Times New Roman"/>
                <w:color w:val="000000"/>
                <w:sz w:val="16"/>
                <w:szCs w:val="18"/>
                <w:lang w:eastAsia="en-AU"/>
              </w:rPr>
              <w:t>$269,000</w:t>
            </w:r>
          </w:p>
        </w:tc>
        <w:tc>
          <w:tcPr>
            <w:tcW w:w="907" w:type="dxa"/>
            <w:tcBorders>
              <w:top w:val="nil"/>
              <w:left w:val="nil"/>
              <w:bottom w:val="single" w:sz="8" w:space="0" w:color="auto"/>
              <w:right w:val="single" w:sz="8" w:space="0" w:color="auto"/>
            </w:tcBorders>
            <w:shd w:val="clear" w:color="auto" w:fill="auto"/>
            <w:vAlign w:val="center"/>
            <w:hideMark/>
          </w:tcPr>
          <w:p w:rsidR="00D02973" w:rsidRPr="0077021D" w:rsidRDefault="00D02973" w:rsidP="00DF2FAC">
            <w:pPr>
              <w:spacing w:after="0" w:line="240" w:lineRule="auto"/>
              <w:jc w:val="center"/>
              <w:rPr>
                <w:rFonts w:ascii="Arial Narrow" w:eastAsia="Times New Roman" w:hAnsi="Arial Narrow" w:cs="Times New Roman"/>
                <w:color w:val="000000"/>
                <w:sz w:val="16"/>
                <w:szCs w:val="18"/>
                <w:lang w:eastAsia="en-AU"/>
              </w:rPr>
            </w:pPr>
            <w:r w:rsidRPr="0077021D">
              <w:rPr>
                <w:rFonts w:ascii="Arial Narrow" w:eastAsia="Times New Roman" w:hAnsi="Arial Narrow" w:cs="Times New Roman"/>
                <w:color w:val="000000"/>
                <w:sz w:val="16"/>
                <w:szCs w:val="18"/>
                <w:lang w:eastAsia="en-AU"/>
              </w:rPr>
              <w:t>$588,000</w:t>
            </w:r>
          </w:p>
        </w:tc>
        <w:tc>
          <w:tcPr>
            <w:tcW w:w="907" w:type="dxa"/>
            <w:tcBorders>
              <w:top w:val="nil"/>
              <w:left w:val="nil"/>
              <w:bottom w:val="single" w:sz="8" w:space="0" w:color="auto"/>
              <w:right w:val="single" w:sz="8" w:space="0" w:color="auto"/>
            </w:tcBorders>
            <w:shd w:val="clear" w:color="auto" w:fill="auto"/>
            <w:vAlign w:val="center"/>
            <w:hideMark/>
          </w:tcPr>
          <w:p w:rsidR="00D02973" w:rsidRPr="0077021D" w:rsidRDefault="00D02973" w:rsidP="00DF2FAC">
            <w:pPr>
              <w:spacing w:after="0" w:line="240" w:lineRule="auto"/>
              <w:jc w:val="center"/>
              <w:rPr>
                <w:rFonts w:ascii="Arial Narrow" w:eastAsia="Times New Roman" w:hAnsi="Arial Narrow" w:cs="Times New Roman"/>
                <w:color w:val="000000"/>
                <w:sz w:val="16"/>
                <w:szCs w:val="18"/>
                <w:lang w:eastAsia="en-AU"/>
              </w:rPr>
            </w:pPr>
            <w:r w:rsidRPr="0077021D">
              <w:rPr>
                <w:rFonts w:ascii="Arial Narrow" w:eastAsia="Times New Roman" w:hAnsi="Arial Narrow" w:cs="Times New Roman"/>
                <w:color w:val="000000"/>
                <w:sz w:val="16"/>
                <w:szCs w:val="18"/>
                <w:lang w:eastAsia="en-AU"/>
              </w:rPr>
              <w:t>$611,000</w:t>
            </w:r>
          </w:p>
        </w:tc>
        <w:tc>
          <w:tcPr>
            <w:tcW w:w="907" w:type="dxa"/>
            <w:tcBorders>
              <w:top w:val="nil"/>
              <w:left w:val="nil"/>
              <w:bottom w:val="single" w:sz="8" w:space="0" w:color="auto"/>
              <w:right w:val="single" w:sz="8" w:space="0" w:color="auto"/>
            </w:tcBorders>
            <w:shd w:val="clear" w:color="auto" w:fill="auto"/>
            <w:vAlign w:val="center"/>
            <w:hideMark/>
          </w:tcPr>
          <w:p w:rsidR="00D02973" w:rsidRPr="0077021D" w:rsidRDefault="00D02973" w:rsidP="00DF2FAC">
            <w:pPr>
              <w:spacing w:after="0" w:line="240" w:lineRule="auto"/>
              <w:jc w:val="center"/>
              <w:rPr>
                <w:rFonts w:ascii="Arial Narrow" w:eastAsia="Times New Roman" w:hAnsi="Arial Narrow" w:cs="Times New Roman"/>
                <w:color w:val="000000"/>
                <w:sz w:val="16"/>
                <w:szCs w:val="18"/>
                <w:lang w:eastAsia="en-AU"/>
              </w:rPr>
            </w:pPr>
            <w:r w:rsidRPr="0077021D">
              <w:rPr>
                <w:rFonts w:ascii="Arial Narrow" w:eastAsia="Times New Roman" w:hAnsi="Arial Narrow" w:cs="Times New Roman"/>
                <w:color w:val="000000"/>
                <w:sz w:val="16"/>
                <w:szCs w:val="18"/>
                <w:lang w:eastAsia="en-AU"/>
              </w:rPr>
              <w:t>$636,000</w:t>
            </w:r>
          </w:p>
        </w:tc>
        <w:tc>
          <w:tcPr>
            <w:tcW w:w="907" w:type="dxa"/>
            <w:tcBorders>
              <w:top w:val="nil"/>
              <w:left w:val="nil"/>
              <w:bottom w:val="single" w:sz="8" w:space="0" w:color="auto"/>
              <w:right w:val="single" w:sz="8" w:space="0" w:color="auto"/>
            </w:tcBorders>
            <w:shd w:val="clear" w:color="auto" w:fill="auto"/>
            <w:vAlign w:val="center"/>
            <w:hideMark/>
          </w:tcPr>
          <w:p w:rsidR="00D02973" w:rsidRPr="0077021D" w:rsidRDefault="00D02973" w:rsidP="00DF2FAC">
            <w:pPr>
              <w:spacing w:after="0" w:line="240" w:lineRule="auto"/>
              <w:jc w:val="center"/>
              <w:rPr>
                <w:rFonts w:ascii="Arial Narrow" w:eastAsia="Times New Roman" w:hAnsi="Arial Narrow" w:cs="Times New Roman"/>
                <w:color w:val="000000"/>
                <w:sz w:val="16"/>
                <w:szCs w:val="18"/>
                <w:lang w:eastAsia="en-AU"/>
              </w:rPr>
            </w:pPr>
            <w:r w:rsidRPr="0077021D">
              <w:rPr>
                <w:rFonts w:ascii="Arial Narrow" w:eastAsia="Times New Roman" w:hAnsi="Arial Narrow" w:cs="Times New Roman"/>
                <w:color w:val="000000"/>
                <w:sz w:val="16"/>
                <w:szCs w:val="18"/>
                <w:lang w:eastAsia="en-AU"/>
              </w:rPr>
              <w:t>$909,000</w:t>
            </w:r>
          </w:p>
        </w:tc>
        <w:tc>
          <w:tcPr>
            <w:tcW w:w="907" w:type="dxa"/>
            <w:tcBorders>
              <w:top w:val="nil"/>
              <w:left w:val="nil"/>
              <w:bottom w:val="single" w:sz="8" w:space="0" w:color="auto"/>
              <w:right w:val="single" w:sz="8" w:space="0" w:color="auto"/>
            </w:tcBorders>
            <w:shd w:val="clear" w:color="auto" w:fill="auto"/>
            <w:vAlign w:val="center"/>
            <w:hideMark/>
          </w:tcPr>
          <w:p w:rsidR="00D02973" w:rsidRPr="0077021D" w:rsidRDefault="00D02973" w:rsidP="00DF2FAC">
            <w:pPr>
              <w:spacing w:after="0" w:line="240" w:lineRule="auto"/>
              <w:jc w:val="center"/>
              <w:rPr>
                <w:rFonts w:ascii="Arial Narrow" w:eastAsia="Times New Roman" w:hAnsi="Arial Narrow" w:cs="Times New Roman"/>
                <w:color w:val="000000"/>
                <w:sz w:val="16"/>
                <w:szCs w:val="18"/>
                <w:lang w:eastAsia="en-AU"/>
              </w:rPr>
            </w:pPr>
            <w:r w:rsidRPr="0077021D">
              <w:rPr>
                <w:rFonts w:ascii="Arial Narrow" w:eastAsia="Times New Roman" w:hAnsi="Arial Narrow" w:cs="Times New Roman"/>
                <w:color w:val="000000"/>
                <w:sz w:val="16"/>
                <w:szCs w:val="18"/>
                <w:lang w:eastAsia="en-AU"/>
              </w:rPr>
              <w:t>$945,000</w:t>
            </w:r>
          </w:p>
        </w:tc>
        <w:tc>
          <w:tcPr>
            <w:tcW w:w="907" w:type="dxa"/>
            <w:tcBorders>
              <w:top w:val="nil"/>
              <w:left w:val="nil"/>
              <w:bottom w:val="single" w:sz="8" w:space="0" w:color="auto"/>
              <w:right w:val="single" w:sz="8" w:space="0" w:color="auto"/>
            </w:tcBorders>
            <w:shd w:val="clear" w:color="auto" w:fill="auto"/>
            <w:vAlign w:val="center"/>
            <w:hideMark/>
          </w:tcPr>
          <w:p w:rsidR="00D02973" w:rsidRPr="0077021D" w:rsidRDefault="00D02973" w:rsidP="00DF2FAC">
            <w:pPr>
              <w:spacing w:after="0" w:line="240" w:lineRule="auto"/>
              <w:jc w:val="center"/>
              <w:rPr>
                <w:rFonts w:ascii="Arial Narrow" w:eastAsia="Times New Roman" w:hAnsi="Arial Narrow" w:cs="Times New Roman"/>
                <w:color w:val="000000"/>
                <w:sz w:val="16"/>
                <w:szCs w:val="18"/>
                <w:lang w:eastAsia="en-AU"/>
              </w:rPr>
            </w:pPr>
            <w:r w:rsidRPr="0077021D">
              <w:rPr>
                <w:rFonts w:ascii="Arial Narrow" w:eastAsia="Times New Roman" w:hAnsi="Arial Narrow" w:cs="Times New Roman"/>
                <w:color w:val="000000"/>
                <w:sz w:val="16"/>
                <w:szCs w:val="18"/>
                <w:lang w:eastAsia="en-AU"/>
              </w:rPr>
              <w:t>$983,000</w:t>
            </w:r>
          </w:p>
        </w:tc>
        <w:tc>
          <w:tcPr>
            <w:tcW w:w="907" w:type="dxa"/>
            <w:tcBorders>
              <w:top w:val="nil"/>
              <w:left w:val="nil"/>
              <w:bottom w:val="single" w:sz="8" w:space="0" w:color="auto"/>
              <w:right w:val="single" w:sz="8" w:space="0" w:color="auto"/>
            </w:tcBorders>
            <w:shd w:val="clear" w:color="auto" w:fill="auto"/>
            <w:vAlign w:val="center"/>
            <w:hideMark/>
          </w:tcPr>
          <w:p w:rsidR="00D02973" w:rsidRPr="0077021D" w:rsidRDefault="00D02973" w:rsidP="00DF2FAC">
            <w:pPr>
              <w:spacing w:after="0" w:line="240" w:lineRule="auto"/>
              <w:jc w:val="center"/>
              <w:rPr>
                <w:rFonts w:ascii="Arial Narrow" w:eastAsia="Times New Roman" w:hAnsi="Arial Narrow" w:cs="Times New Roman"/>
                <w:color w:val="000000"/>
                <w:sz w:val="16"/>
                <w:szCs w:val="18"/>
                <w:lang w:eastAsia="en-AU"/>
              </w:rPr>
            </w:pPr>
            <w:r w:rsidRPr="0077021D">
              <w:rPr>
                <w:rFonts w:ascii="Arial Narrow" w:eastAsia="Times New Roman" w:hAnsi="Arial Narrow" w:cs="Times New Roman"/>
                <w:color w:val="000000"/>
                <w:sz w:val="16"/>
                <w:szCs w:val="18"/>
                <w:lang w:eastAsia="en-AU"/>
              </w:rPr>
              <w:t>$1,022,000</w:t>
            </w:r>
          </w:p>
        </w:tc>
        <w:tc>
          <w:tcPr>
            <w:tcW w:w="907" w:type="dxa"/>
            <w:tcBorders>
              <w:top w:val="nil"/>
              <w:left w:val="nil"/>
              <w:bottom w:val="single" w:sz="8" w:space="0" w:color="auto"/>
              <w:right w:val="single" w:sz="8" w:space="0" w:color="auto"/>
            </w:tcBorders>
            <w:shd w:val="clear" w:color="auto" w:fill="auto"/>
            <w:vAlign w:val="center"/>
            <w:hideMark/>
          </w:tcPr>
          <w:p w:rsidR="00D02973" w:rsidRPr="0077021D" w:rsidRDefault="00D02973" w:rsidP="00DF2FAC">
            <w:pPr>
              <w:spacing w:after="0" w:line="240" w:lineRule="auto"/>
              <w:jc w:val="center"/>
              <w:rPr>
                <w:rFonts w:ascii="Arial Narrow" w:eastAsia="Times New Roman" w:hAnsi="Arial Narrow" w:cs="Times New Roman"/>
                <w:color w:val="000000"/>
                <w:sz w:val="16"/>
                <w:szCs w:val="18"/>
                <w:lang w:eastAsia="en-AU"/>
              </w:rPr>
            </w:pPr>
            <w:r w:rsidRPr="0077021D">
              <w:rPr>
                <w:rFonts w:ascii="Arial Narrow" w:eastAsia="Times New Roman" w:hAnsi="Arial Narrow" w:cs="Times New Roman"/>
                <w:color w:val="000000"/>
                <w:sz w:val="16"/>
                <w:szCs w:val="18"/>
                <w:lang w:eastAsia="en-AU"/>
              </w:rPr>
              <w:t>$1,063,000</w:t>
            </w:r>
          </w:p>
        </w:tc>
      </w:tr>
      <w:tr w:rsidR="00D02973" w:rsidRPr="0077021D" w:rsidTr="00DF2FAC">
        <w:trPr>
          <w:trHeight w:val="555"/>
        </w:trPr>
        <w:tc>
          <w:tcPr>
            <w:tcW w:w="1077" w:type="dxa"/>
            <w:tcBorders>
              <w:top w:val="nil"/>
              <w:left w:val="single" w:sz="8" w:space="0" w:color="auto"/>
              <w:bottom w:val="single" w:sz="8" w:space="0" w:color="auto"/>
              <w:right w:val="single" w:sz="8" w:space="0" w:color="auto"/>
            </w:tcBorders>
            <w:shd w:val="clear" w:color="auto" w:fill="auto"/>
            <w:vAlign w:val="center"/>
            <w:hideMark/>
          </w:tcPr>
          <w:p w:rsidR="00D02973" w:rsidRPr="0077021D" w:rsidRDefault="00D02973" w:rsidP="00DF2FAC">
            <w:pPr>
              <w:spacing w:after="0" w:line="240" w:lineRule="auto"/>
              <w:rPr>
                <w:rFonts w:ascii="Arial Narrow" w:eastAsia="Times New Roman" w:hAnsi="Arial Narrow" w:cs="Times New Roman"/>
                <w:color w:val="000000"/>
                <w:sz w:val="16"/>
                <w:szCs w:val="18"/>
                <w:lang w:eastAsia="en-AU"/>
              </w:rPr>
            </w:pPr>
            <w:r w:rsidRPr="0077021D">
              <w:rPr>
                <w:rFonts w:ascii="Arial Narrow" w:eastAsia="Times New Roman" w:hAnsi="Arial Narrow" w:cs="Times New Roman"/>
                <w:color w:val="000000"/>
                <w:sz w:val="16"/>
                <w:szCs w:val="18"/>
                <w:lang w:eastAsia="en-AU"/>
              </w:rPr>
              <w:t>Parks and recreation</w:t>
            </w:r>
          </w:p>
        </w:tc>
        <w:tc>
          <w:tcPr>
            <w:tcW w:w="907" w:type="dxa"/>
            <w:tcBorders>
              <w:top w:val="nil"/>
              <w:left w:val="nil"/>
              <w:bottom w:val="single" w:sz="8" w:space="0" w:color="auto"/>
              <w:right w:val="single" w:sz="8" w:space="0" w:color="auto"/>
            </w:tcBorders>
            <w:shd w:val="clear" w:color="auto" w:fill="auto"/>
            <w:vAlign w:val="center"/>
            <w:hideMark/>
          </w:tcPr>
          <w:p w:rsidR="00D02973" w:rsidRPr="0077021D" w:rsidRDefault="00D02973" w:rsidP="00DF2FAC">
            <w:pPr>
              <w:spacing w:after="0" w:line="240" w:lineRule="auto"/>
              <w:jc w:val="center"/>
              <w:rPr>
                <w:rFonts w:ascii="Arial Narrow" w:eastAsia="Times New Roman" w:hAnsi="Arial Narrow" w:cs="Times New Roman"/>
                <w:color w:val="000000"/>
                <w:sz w:val="16"/>
                <w:szCs w:val="18"/>
                <w:lang w:eastAsia="en-AU"/>
              </w:rPr>
            </w:pPr>
            <w:r w:rsidRPr="0077021D">
              <w:rPr>
                <w:rFonts w:ascii="Arial Narrow" w:eastAsia="Times New Roman" w:hAnsi="Arial Narrow" w:cs="Times New Roman"/>
                <w:color w:val="000000"/>
                <w:sz w:val="16"/>
                <w:szCs w:val="18"/>
                <w:lang w:eastAsia="en-AU"/>
              </w:rPr>
              <w:t>$2,495,000</w:t>
            </w:r>
          </w:p>
        </w:tc>
        <w:tc>
          <w:tcPr>
            <w:tcW w:w="907" w:type="dxa"/>
            <w:tcBorders>
              <w:top w:val="nil"/>
              <w:left w:val="nil"/>
              <w:bottom w:val="single" w:sz="8" w:space="0" w:color="auto"/>
              <w:right w:val="single" w:sz="8" w:space="0" w:color="auto"/>
            </w:tcBorders>
            <w:shd w:val="clear" w:color="auto" w:fill="auto"/>
            <w:vAlign w:val="center"/>
            <w:hideMark/>
          </w:tcPr>
          <w:p w:rsidR="00D02973" w:rsidRPr="0077021D" w:rsidRDefault="00D02973" w:rsidP="00DF2FAC">
            <w:pPr>
              <w:spacing w:after="0" w:line="240" w:lineRule="auto"/>
              <w:jc w:val="center"/>
              <w:rPr>
                <w:rFonts w:ascii="Arial Narrow" w:eastAsia="Times New Roman" w:hAnsi="Arial Narrow" w:cs="Times New Roman"/>
                <w:color w:val="000000"/>
                <w:sz w:val="16"/>
                <w:szCs w:val="18"/>
                <w:lang w:eastAsia="en-AU"/>
              </w:rPr>
            </w:pPr>
            <w:r w:rsidRPr="0077021D">
              <w:rPr>
                <w:rFonts w:ascii="Arial Narrow" w:eastAsia="Times New Roman" w:hAnsi="Arial Narrow" w:cs="Times New Roman"/>
                <w:color w:val="000000"/>
                <w:sz w:val="16"/>
                <w:szCs w:val="18"/>
                <w:lang w:eastAsia="en-AU"/>
              </w:rPr>
              <w:t>$3,584,000</w:t>
            </w:r>
          </w:p>
        </w:tc>
        <w:tc>
          <w:tcPr>
            <w:tcW w:w="907" w:type="dxa"/>
            <w:tcBorders>
              <w:top w:val="nil"/>
              <w:left w:val="nil"/>
              <w:bottom w:val="single" w:sz="8" w:space="0" w:color="auto"/>
              <w:right w:val="single" w:sz="8" w:space="0" w:color="auto"/>
            </w:tcBorders>
            <w:shd w:val="clear" w:color="auto" w:fill="auto"/>
            <w:vAlign w:val="center"/>
            <w:hideMark/>
          </w:tcPr>
          <w:p w:rsidR="00D02973" w:rsidRPr="0077021D" w:rsidRDefault="00D02973" w:rsidP="00DF2FAC">
            <w:pPr>
              <w:spacing w:after="0" w:line="240" w:lineRule="auto"/>
              <w:jc w:val="center"/>
              <w:rPr>
                <w:rFonts w:ascii="Arial Narrow" w:eastAsia="Times New Roman" w:hAnsi="Arial Narrow" w:cs="Times New Roman"/>
                <w:color w:val="000000"/>
                <w:sz w:val="16"/>
                <w:szCs w:val="18"/>
                <w:lang w:eastAsia="en-AU"/>
              </w:rPr>
            </w:pPr>
            <w:r w:rsidRPr="0077021D">
              <w:rPr>
                <w:rFonts w:ascii="Arial Narrow" w:eastAsia="Times New Roman" w:hAnsi="Arial Narrow" w:cs="Times New Roman"/>
                <w:color w:val="000000"/>
                <w:sz w:val="16"/>
                <w:szCs w:val="18"/>
                <w:lang w:eastAsia="en-AU"/>
              </w:rPr>
              <w:t>$3,370,000</w:t>
            </w:r>
          </w:p>
        </w:tc>
        <w:tc>
          <w:tcPr>
            <w:tcW w:w="907" w:type="dxa"/>
            <w:tcBorders>
              <w:top w:val="nil"/>
              <w:left w:val="nil"/>
              <w:bottom w:val="single" w:sz="8" w:space="0" w:color="auto"/>
              <w:right w:val="single" w:sz="8" w:space="0" w:color="auto"/>
            </w:tcBorders>
            <w:shd w:val="clear" w:color="auto" w:fill="auto"/>
            <w:vAlign w:val="center"/>
            <w:hideMark/>
          </w:tcPr>
          <w:p w:rsidR="00D02973" w:rsidRPr="0077021D" w:rsidRDefault="00D02973" w:rsidP="00DF2FAC">
            <w:pPr>
              <w:spacing w:after="0" w:line="240" w:lineRule="auto"/>
              <w:jc w:val="center"/>
              <w:rPr>
                <w:rFonts w:ascii="Arial Narrow" w:eastAsia="Times New Roman" w:hAnsi="Arial Narrow" w:cs="Times New Roman"/>
                <w:color w:val="000000"/>
                <w:sz w:val="16"/>
                <w:szCs w:val="18"/>
                <w:lang w:eastAsia="en-AU"/>
              </w:rPr>
            </w:pPr>
            <w:r w:rsidRPr="0077021D">
              <w:rPr>
                <w:rFonts w:ascii="Arial Narrow" w:eastAsia="Times New Roman" w:hAnsi="Arial Narrow" w:cs="Times New Roman"/>
                <w:color w:val="000000"/>
                <w:sz w:val="16"/>
                <w:szCs w:val="18"/>
                <w:lang w:eastAsia="en-AU"/>
              </w:rPr>
              <w:t>$2,816,000</w:t>
            </w:r>
          </w:p>
        </w:tc>
        <w:tc>
          <w:tcPr>
            <w:tcW w:w="907" w:type="dxa"/>
            <w:tcBorders>
              <w:top w:val="nil"/>
              <w:left w:val="nil"/>
              <w:bottom w:val="single" w:sz="8" w:space="0" w:color="auto"/>
              <w:right w:val="single" w:sz="8" w:space="0" w:color="auto"/>
            </w:tcBorders>
            <w:shd w:val="clear" w:color="auto" w:fill="auto"/>
            <w:vAlign w:val="center"/>
            <w:hideMark/>
          </w:tcPr>
          <w:p w:rsidR="00D02973" w:rsidRPr="0077021D" w:rsidRDefault="00D02973" w:rsidP="00DF2FAC">
            <w:pPr>
              <w:spacing w:after="0" w:line="240" w:lineRule="auto"/>
              <w:jc w:val="center"/>
              <w:rPr>
                <w:rFonts w:ascii="Arial Narrow" w:eastAsia="Times New Roman" w:hAnsi="Arial Narrow" w:cs="Times New Roman"/>
                <w:color w:val="000000"/>
                <w:sz w:val="16"/>
                <w:szCs w:val="18"/>
                <w:lang w:eastAsia="en-AU"/>
              </w:rPr>
            </w:pPr>
            <w:r w:rsidRPr="0077021D">
              <w:rPr>
                <w:rFonts w:ascii="Arial Narrow" w:eastAsia="Times New Roman" w:hAnsi="Arial Narrow" w:cs="Times New Roman"/>
                <w:color w:val="000000"/>
                <w:sz w:val="16"/>
                <w:szCs w:val="18"/>
                <w:lang w:eastAsia="en-AU"/>
              </w:rPr>
              <w:t>$7,144,000</w:t>
            </w:r>
          </w:p>
        </w:tc>
        <w:tc>
          <w:tcPr>
            <w:tcW w:w="907" w:type="dxa"/>
            <w:tcBorders>
              <w:top w:val="nil"/>
              <w:left w:val="nil"/>
              <w:bottom w:val="single" w:sz="8" w:space="0" w:color="auto"/>
              <w:right w:val="single" w:sz="8" w:space="0" w:color="auto"/>
            </w:tcBorders>
            <w:shd w:val="clear" w:color="auto" w:fill="auto"/>
            <w:vAlign w:val="center"/>
            <w:hideMark/>
          </w:tcPr>
          <w:p w:rsidR="00D02973" w:rsidRPr="0077021D" w:rsidRDefault="00D02973" w:rsidP="00DF2FAC">
            <w:pPr>
              <w:spacing w:after="0" w:line="240" w:lineRule="auto"/>
              <w:jc w:val="center"/>
              <w:rPr>
                <w:rFonts w:ascii="Arial Narrow" w:eastAsia="Times New Roman" w:hAnsi="Arial Narrow" w:cs="Times New Roman"/>
                <w:color w:val="000000"/>
                <w:sz w:val="16"/>
                <w:szCs w:val="18"/>
                <w:lang w:eastAsia="en-AU"/>
              </w:rPr>
            </w:pPr>
            <w:r w:rsidRPr="0077021D">
              <w:rPr>
                <w:rFonts w:ascii="Arial Narrow" w:eastAsia="Times New Roman" w:hAnsi="Arial Narrow" w:cs="Times New Roman"/>
                <w:color w:val="000000"/>
                <w:sz w:val="16"/>
                <w:szCs w:val="18"/>
                <w:lang w:eastAsia="en-AU"/>
              </w:rPr>
              <w:t>$2,370,000</w:t>
            </w:r>
          </w:p>
        </w:tc>
        <w:tc>
          <w:tcPr>
            <w:tcW w:w="907" w:type="dxa"/>
            <w:tcBorders>
              <w:top w:val="nil"/>
              <w:left w:val="nil"/>
              <w:bottom w:val="single" w:sz="8" w:space="0" w:color="auto"/>
              <w:right w:val="single" w:sz="8" w:space="0" w:color="auto"/>
            </w:tcBorders>
            <w:shd w:val="clear" w:color="auto" w:fill="auto"/>
            <w:vAlign w:val="center"/>
            <w:hideMark/>
          </w:tcPr>
          <w:p w:rsidR="00D02973" w:rsidRPr="0077021D" w:rsidRDefault="00D02973" w:rsidP="00DF2FAC">
            <w:pPr>
              <w:spacing w:after="0" w:line="240" w:lineRule="auto"/>
              <w:jc w:val="center"/>
              <w:rPr>
                <w:rFonts w:ascii="Arial Narrow" w:eastAsia="Times New Roman" w:hAnsi="Arial Narrow" w:cs="Times New Roman"/>
                <w:color w:val="000000"/>
                <w:sz w:val="16"/>
                <w:szCs w:val="18"/>
                <w:lang w:eastAsia="en-AU"/>
              </w:rPr>
            </w:pPr>
            <w:r w:rsidRPr="0077021D">
              <w:rPr>
                <w:rFonts w:ascii="Arial Narrow" w:eastAsia="Times New Roman" w:hAnsi="Arial Narrow" w:cs="Times New Roman"/>
                <w:color w:val="000000"/>
                <w:sz w:val="16"/>
                <w:szCs w:val="18"/>
                <w:lang w:eastAsia="en-AU"/>
              </w:rPr>
              <w:t>$2,844,000</w:t>
            </w:r>
          </w:p>
        </w:tc>
        <w:tc>
          <w:tcPr>
            <w:tcW w:w="907" w:type="dxa"/>
            <w:tcBorders>
              <w:top w:val="nil"/>
              <w:left w:val="nil"/>
              <w:bottom w:val="single" w:sz="8" w:space="0" w:color="auto"/>
              <w:right w:val="single" w:sz="8" w:space="0" w:color="auto"/>
            </w:tcBorders>
            <w:shd w:val="clear" w:color="auto" w:fill="auto"/>
            <w:vAlign w:val="center"/>
            <w:hideMark/>
          </w:tcPr>
          <w:p w:rsidR="00D02973" w:rsidRPr="0077021D" w:rsidRDefault="00D02973" w:rsidP="00DF2FAC">
            <w:pPr>
              <w:spacing w:after="0" w:line="240" w:lineRule="auto"/>
              <w:jc w:val="center"/>
              <w:rPr>
                <w:rFonts w:ascii="Arial Narrow" w:eastAsia="Times New Roman" w:hAnsi="Arial Narrow" w:cs="Times New Roman"/>
                <w:color w:val="000000"/>
                <w:sz w:val="16"/>
                <w:szCs w:val="18"/>
                <w:lang w:eastAsia="en-AU"/>
              </w:rPr>
            </w:pPr>
            <w:r w:rsidRPr="0077021D">
              <w:rPr>
                <w:rFonts w:ascii="Arial Narrow" w:eastAsia="Times New Roman" w:hAnsi="Arial Narrow" w:cs="Times New Roman"/>
                <w:color w:val="000000"/>
                <w:sz w:val="16"/>
                <w:szCs w:val="18"/>
                <w:lang w:eastAsia="en-AU"/>
              </w:rPr>
              <w:t>$3,945,000</w:t>
            </w:r>
          </w:p>
        </w:tc>
        <w:tc>
          <w:tcPr>
            <w:tcW w:w="907" w:type="dxa"/>
            <w:tcBorders>
              <w:top w:val="nil"/>
              <w:left w:val="nil"/>
              <w:bottom w:val="single" w:sz="8" w:space="0" w:color="auto"/>
              <w:right w:val="single" w:sz="8" w:space="0" w:color="auto"/>
            </w:tcBorders>
            <w:shd w:val="clear" w:color="auto" w:fill="auto"/>
            <w:vAlign w:val="center"/>
            <w:hideMark/>
          </w:tcPr>
          <w:p w:rsidR="00D02973" w:rsidRPr="0077021D" w:rsidRDefault="00D02973" w:rsidP="00DF2FAC">
            <w:pPr>
              <w:spacing w:after="0" w:line="240" w:lineRule="auto"/>
              <w:jc w:val="center"/>
              <w:rPr>
                <w:rFonts w:ascii="Arial Narrow" w:eastAsia="Times New Roman" w:hAnsi="Arial Narrow" w:cs="Times New Roman"/>
                <w:color w:val="000000"/>
                <w:sz w:val="16"/>
                <w:szCs w:val="18"/>
                <w:lang w:eastAsia="en-AU"/>
              </w:rPr>
            </w:pPr>
            <w:r w:rsidRPr="0077021D">
              <w:rPr>
                <w:rFonts w:ascii="Arial Narrow" w:eastAsia="Times New Roman" w:hAnsi="Arial Narrow" w:cs="Times New Roman"/>
                <w:color w:val="000000"/>
                <w:sz w:val="16"/>
                <w:szCs w:val="18"/>
                <w:lang w:eastAsia="en-AU"/>
              </w:rPr>
              <w:t>$4,103,000</w:t>
            </w:r>
          </w:p>
        </w:tc>
        <w:tc>
          <w:tcPr>
            <w:tcW w:w="907" w:type="dxa"/>
            <w:tcBorders>
              <w:top w:val="nil"/>
              <w:left w:val="nil"/>
              <w:bottom w:val="single" w:sz="8" w:space="0" w:color="auto"/>
              <w:right w:val="single" w:sz="8" w:space="0" w:color="auto"/>
            </w:tcBorders>
            <w:shd w:val="clear" w:color="auto" w:fill="auto"/>
            <w:vAlign w:val="center"/>
            <w:hideMark/>
          </w:tcPr>
          <w:p w:rsidR="00D02973" w:rsidRPr="0077021D" w:rsidRDefault="00D02973" w:rsidP="00DF2FAC">
            <w:pPr>
              <w:spacing w:after="0" w:line="240" w:lineRule="auto"/>
              <w:jc w:val="center"/>
              <w:rPr>
                <w:rFonts w:ascii="Arial Narrow" w:eastAsia="Times New Roman" w:hAnsi="Arial Narrow" w:cs="Times New Roman"/>
                <w:color w:val="000000"/>
                <w:sz w:val="16"/>
                <w:szCs w:val="18"/>
                <w:lang w:eastAsia="en-AU"/>
              </w:rPr>
            </w:pPr>
            <w:r w:rsidRPr="0077021D">
              <w:rPr>
                <w:rFonts w:ascii="Arial Narrow" w:eastAsia="Times New Roman" w:hAnsi="Arial Narrow" w:cs="Times New Roman"/>
                <w:color w:val="000000"/>
                <w:sz w:val="16"/>
                <w:szCs w:val="18"/>
                <w:lang w:eastAsia="en-AU"/>
              </w:rPr>
              <w:t>$4,267,000</w:t>
            </w:r>
          </w:p>
        </w:tc>
      </w:tr>
      <w:tr w:rsidR="00D02973" w:rsidRPr="0077021D" w:rsidTr="00DF2FAC">
        <w:trPr>
          <w:trHeight w:val="315"/>
        </w:trPr>
        <w:tc>
          <w:tcPr>
            <w:tcW w:w="1077" w:type="dxa"/>
            <w:tcBorders>
              <w:top w:val="nil"/>
              <w:left w:val="single" w:sz="8" w:space="0" w:color="auto"/>
              <w:bottom w:val="single" w:sz="8" w:space="0" w:color="auto"/>
              <w:right w:val="single" w:sz="8" w:space="0" w:color="auto"/>
            </w:tcBorders>
            <w:shd w:val="clear" w:color="000000" w:fill="000000"/>
            <w:vAlign w:val="center"/>
            <w:hideMark/>
          </w:tcPr>
          <w:p w:rsidR="00D02973" w:rsidRPr="0077021D" w:rsidRDefault="00D02973" w:rsidP="00DF2FAC">
            <w:pPr>
              <w:spacing w:after="0" w:line="240" w:lineRule="auto"/>
              <w:rPr>
                <w:rFonts w:ascii="Arial Narrow" w:eastAsia="Times New Roman" w:hAnsi="Arial Narrow" w:cs="Times New Roman"/>
                <w:b/>
                <w:bCs/>
                <w:color w:val="FFFFFF"/>
                <w:sz w:val="16"/>
                <w:szCs w:val="18"/>
                <w:lang w:eastAsia="en-AU"/>
              </w:rPr>
            </w:pPr>
            <w:r w:rsidRPr="0077021D">
              <w:rPr>
                <w:rFonts w:ascii="Arial Narrow" w:eastAsia="Times New Roman" w:hAnsi="Arial Narrow" w:cs="Times New Roman"/>
                <w:b/>
                <w:bCs/>
                <w:color w:val="FFFFFF"/>
                <w:sz w:val="16"/>
                <w:szCs w:val="18"/>
                <w:lang w:eastAsia="en-AU"/>
              </w:rPr>
              <w:t>Total</w:t>
            </w:r>
          </w:p>
        </w:tc>
        <w:tc>
          <w:tcPr>
            <w:tcW w:w="907" w:type="dxa"/>
            <w:tcBorders>
              <w:top w:val="nil"/>
              <w:left w:val="nil"/>
              <w:bottom w:val="single" w:sz="8" w:space="0" w:color="auto"/>
              <w:right w:val="single" w:sz="8" w:space="0" w:color="auto"/>
            </w:tcBorders>
            <w:shd w:val="clear" w:color="000000" w:fill="000000"/>
            <w:vAlign w:val="center"/>
            <w:hideMark/>
          </w:tcPr>
          <w:p w:rsidR="00D02973" w:rsidRPr="0077021D" w:rsidRDefault="00D02973" w:rsidP="00DF2FAC">
            <w:pPr>
              <w:spacing w:after="0" w:line="240" w:lineRule="auto"/>
              <w:jc w:val="center"/>
              <w:rPr>
                <w:rFonts w:ascii="Arial Narrow" w:eastAsia="Times New Roman" w:hAnsi="Arial Narrow" w:cs="Times New Roman"/>
                <w:b/>
                <w:bCs/>
                <w:color w:val="FFFFFF"/>
                <w:sz w:val="16"/>
                <w:szCs w:val="18"/>
                <w:lang w:eastAsia="en-AU"/>
              </w:rPr>
            </w:pPr>
            <w:r w:rsidRPr="0077021D">
              <w:rPr>
                <w:rFonts w:ascii="Arial Narrow" w:eastAsia="Times New Roman" w:hAnsi="Arial Narrow" w:cs="Times New Roman"/>
                <w:b/>
                <w:bCs/>
                <w:color w:val="FFFFFF"/>
                <w:sz w:val="16"/>
                <w:szCs w:val="18"/>
                <w:lang w:eastAsia="en-AU"/>
              </w:rPr>
              <w:t>$4,620,000</w:t>
            </w:r>
          </w:p>
        </w:tc>
        <w:tc>
          <w:tcPr>
            <w:tcW w:w="907" w:type="dxa"/>
            <w:tcBorders>
              <w:top w:val="nil"/>
              <w:left w:val="nil"/>
              <w:bottom w:val="single" w:sz="8" w:space="0" w:color="auto"/>
              <w:right w:val="single" w:sz="8" w:space="0" w:color="auto"/>
            </w:tcBorders>
            <w:shd w:val="clear" w:color="000000" w:fill="000000"/>
            <w:vAlign w:val="center"/>
            <w:hideMark/>
          </w:tcPr>
          <w:p w:rsidR="00D02973" w:rsidRPr="0077021D" w:rsidRDefault="00D02973" w:rsidP="00DF2FAC">
            <w:pPr>
              <w:spacing w:after="0" w:line="240" w:lineRule="auto"/>
              <w:jc w:val="center"/>
              <w:rPr>
                <w:rFonts w:ascii="Arial Narrow" w:eastAsia="Times New Roman" w:hAnsi="Arial Narrow" w:cs="Times New Roman"/>
                <w:b/>
                <w:bCs/>
                <w:color w:val="FFFFFF"/>
                <w:sz w:val="16"/>
                <w:szCs w:val="18"/>
                <w:lang w:eastAsia="en-AU"/>
              </w:rPr>
            </w:pPr>
            <w:r w:rsidRPr="0077021D">
              <w:rPr>
                <w:rFonts w:ascii="Arial Narrow" w:eastAsia="Times New Roman" w:hAnsi="Arial Narrow" w:cs="Times New Roman"/>
                <w:b/>
                <w:bCs/>
                <w:color w:val="FFFFFF"/>
                <w:sz w:val="16"/>
                <w:szCs w:val="18"/>
                <w:lang w:eastAsia="en-AU"/>
              </w:rPr>
              <w:t>$3,853,000</w:t>
            </w:r>
          </w:p>
        </w:tc>
        <w:tc>
          <w:tcPr>
            <w:tcW w:w="907" w:type="dxa"/>
            <w:tcBorders>
              <w:top w:val="nil"/>
              <w:left w:val="nil"/>
              <w:bottom w:val="single" w:sz="8" w:space="0" w:color="auto"/>
              <w:right w:val="single" w:sz="8" w:space="0" w:color="auto"/>
            </w:tcBorders>
            <w:shd w:val="clear" w:color="000000" w:fill="000000"/>
            <w:vAlign w:val="center"/>
            <w:hideMark/>
          </w:tcPr>
          <w:p w:rsidR="00D02973" w:rsidRPr="0077021D" w:rsidRDefault="00D02973" w:rsidP="00DF2FAC">
            <w:pPr>
              <w:spacing w:after="0" w:line="240" w:lineRule="auto"/>
              <w:jc w:val="center"/>
              <w:rPr>
                <w:rFonts w:ascii="Arial Narrow" w:eastAsia="Times New Roman" w:hAnsi="Arial Narrow" w:cs="Times New Roman"/>
                <w:b/>
                <w:bCs/>
                <w:color w:val="FFFFFF"/>
                <w:sz w:val="16"/>
                <w:szCs w:val="18"/>
                <w:lang w:eastAsia="en-AU"/>
              </w:rPr>
            </w:pPr>
            <w:r w:rsidRPr="0077021D">
              <w:rPr>
                <w:rFonts w:ascii="Arial Narrow" w:eastAsia="Times New Roman" w:hAnsi="Arial Narrow" w:cs="Times New Roman"/>
                <w:b/>
                <w:bCs/>
                <w:color w:val="FFFFFF"/>
                <w:sz w:val="16"/>
                <w:szCs w:val="18"/>
                <w:lang w:eastAsia="en-AU"/>
              </w:rPr>
              <w:t>$3,958,000</w:t>
            </w:r>
          </w:p>
        </w:tc>
        <w:tc>
          <w:tcPr>
            <w:tcW w:w="907" w:type="dxa"/>
            <w:tcBorders>
              <w:top w:val="nil"/>
              <w:left w:val="nil"/>
              <w:bottom w:val="single" w:sz="8" w:space="0" w:color="auto"/>
              <w:right w:val="single" w:sz="8" w:space="0" w:color="auto"/>
            </w:tcBorders>
            <w:shd w:val="clear" w:color="000000" w:fill="000000"/>
            <w:vAlign w:val="center"/>
            <w:hideMark/>
          </w:tcPr>
          <w:p w:rsidR="00D02973" w:rsidRPr="0077021D" w:rsidRDefault="00D02973" w:rsidP="00DF2FAC">
            <w:pPr>
              <w:spacing w:after="0" w:line="240" w:lineRule="auto"/>
              <w:jc w:val="center"/>
              <w:rPr>
                <w:rFonts w:ascii="Arial Narrow" w:eastAsia="Times New Roman" w:hAnsi="Arial Narrow" w:cs="Times New Roman"/>
                <w:b/>
                <w:bCs/>
                <w:color w:val="FFFFFF"/>
                <w:sz w:val="16"/>
                <w:szCs w:val="18"/>
                <w:lang w:eastAsia="en-AU"/>
              </w:rPr>
            </w:pPr>
            <w:r w:rsidRPr="0077021D">
              <w:rPr>
                <w:rFonts w:ascii="Arial Narrow" w:eastAsia="Times New Roman" w:hAnsi="Arial Narrow" w:cs="Times New Roman"/>
                <w:b/>
                <w:bCs/>
                <w:color w:val="FFFFFF"/>
                <w:sz w:val="16"/>
                <w:szCs w:val="18"/>
                <w:lang w:eastAsia="en-AU"/>
              </w:rPr>
              <w:t>$3,427,000</w:t>
            </w:r>
          </w:p>
        </w:tc>
        <w:tc>
          <w:tcPr>
            <w:tcW w:w="907" w:type="dxa"/>
            <w:tcBorders>
              <w:top w:val="nil"/>
              <w:left w:val="nil"/>
              <w:bottom w:val="single" w:sz="8" w:space="0" w:color="auto"/>
              <w:right w:val="single" w:sz="8" w:space="0" w:color="auto"/>
            </w:tcBorders>
            <w:shd w:val="clear" w:color="000000" w:fill="000000"/>
            <w:vAlign w:val="center"/>
            <w:hideMark/>
          </w:tcPr>
          <w:p w:rsidR="00D02973" w:rsidRPr="0077021D" w:rsidRDefault="00D02973" w:rsidP="00DF2FAC">
            <w:pPr>
              <w:spacing w:after="0" w:line="240" w:lineRule="auto"/>
              <w:jc w:val="center"/>
              <w:rPr>
                <w:rFonts w:ascii="Arial Narrow" w:eastAsia="Times New Roman" w:hAnsi="Arial Narrow" w:cs="Times New Roman"/>
                <w:b/>
                <w:bCs/>
                <w:color w:val="FFFFFF"/>
                <w:sz w:val="16"/>
                <w:szCs w:val="18"/>
                <w:lang w:eastAsia="en-AU"/>
              </w:rPr>
            </w:pPr>
            <w:r w:rsidRPr="0077021D">
              <w:rPr>
                <w:rFonts w:ascii="Arial Narrow" w:eastAsia="Times New Roman" w:hAnsi="Arial Narrow" w:cs="Times New Roman"/>
                <w:b/>
                <w:bCs/>
                <w:color w:val="FFFFFF"/>
                <w:sz w:val="16"/>
                <w:szCs w:val="18"/>
                <w:lang w:eastAsia="en-AU"/>
              </w:rPr>
              <w:t>$7,780,000</w:t>
            </w:r>
          </w:p>
        </w:tc>
        <w:tc>
          <w:tcPr>
            <w:tcW w:w="907" w:type="dxa"/>
            <w:tcBorders>
              <w:top w:val="nil"/>
              <w:left w:val="nil"/>
              <w:bottom w:val="single" w:sz="8" w:space="0" w:color="auto"/>
              <w:right w:val="single" w:sz="8" w:space="0" w:color="auto"/>
            </w:tcBorders>
            <w:shd w:val="clear" w:color="000000" w:fill="000000"/>
            <w:vAlign w:val="center"/>
            <w:hideMark/>
          </w:tcPr>
          <w:p w:rsidR="00D02973" w:rsidRPr="0077021D" w:rsidRDefault="00D02973" w:rsidP="00DF2FAC">
            <w:pPr>
              <w:spacing w:after="0" w:line="240" w:lineRule="auto"/>
              <w:jc w:val="center"/>
              <w:rPr>
                <w:rFonts w:ascii="Arial Narrow" w:eastAsia="Times New Roman" w:hAnsi="Arial Narrow" w:cs="Times New Roman"/>
                <w:b/>
                <w:bCs/>
                <w:color w:val="FFFFFF"/>
                <w:sz w:val="16"/>
                <w:szCs w:val="18"/>
                <w:lang w:eastAsia="en-AU"/>
              </w:rPr>
            </w:pPr>
            <w:r w:rsidRPr="0077021D">
              <w:rPr>
                <w:rFonts w:ascii="Arial Narrow" w:eastAsia="Times New Roman" w:hAnsi="Arial Narrow" w:cs="Times New Roman"/>
                <w:b/>
                <w:bCs/>
                <w:color w:val="FFFFFF"/>
                <w:sz w:val="16"/>
                <w:szCs w:val="18"/>
                <w:lang w:eastAsia="en-AU"/>
              </w:rPr>
              <w:t>$3,279,000</w:t>
            </w:r>
          </w:p>
        </w:tc>
        <w:tc>
          <w:tcPr>
            <w:tcW w:w="907" w:type="dxa"/>
            <w:tcBorders>
              <w:top w:val="nil"/>
              <w:left w:val="nil"/>
              <w:bottom w:val="single" w:sz="8" w:space="0" w:color="auto"/>
              <w:right w:val="single" w:sz="8" w:space="0" w:color="auto"/>
            </w:tcBorders>
            <w:shd w:val="clear" w:color="000000" w:fill="000000"/>
            <w:vAlign w:val="center"/>
            <w:hideMark/>
          </w:tcPr>
          <w:p w:rsidR="00D02973" w:rsidRPr="0077021D" w:rsidRDefault="00D02973" w:rsidP="00DF2FAC">
            <w:pPr>
              <w:spacing w:after="0" w:line="240" w:lineRule="auto"/>
              <w:jc w:val="center"/>
              <w:rPr>
                <w:rFonts w:ascii="Arial Narrow" w:eastAsia="Times New Roman" w:hAnsi="Arial Narrow" w:cs="Times New Roman"/>
                <w:b/>
                <w:bCs/>
                <w:color w:val="FFFFFF"/>
                <w:sz w:val="16"/>
                <w:szCs w:val="18"/>
                <w:lang w:eastAsia="en-AU"/>
              </w:rPr>
            </w:pPr>
            <w:r w:rsidRPr="0077021D">
              <w:rPr>
                <w:rFonts w:ascii="Arial Narrow" w:eastAsia="Times New Roman" w:hAnsi="Arial Narrow" w:cs="Times New Roman"/>
                <w:b/>
                <w:bCs/>
                <w:color w:val="FFFFFF"/>
                <w:sz w:val="16"/>
                <w:szCs w:val="18"/>
                <w:lang w:eastAsia="en-AU"/>
              </w:rPr>
              <w:t>$3,789,000</w:t>
            </w:r>
          </w:p>
        </w:tc>
        <w:tc>
          <w:tcPr>
            <w:tcW w:w="907" w:type="dxa"/>
            <w:tcBorders>
              <w:top w:val="nil"/>
              <w:left w:val="nil"/>
              <w:bottom w:val="single" w:sz="8" w:space="0" w:color="auto"/>
              <w:right w:val="single" w:sz="8" w:space="0" w:color="auto"/>
            </w:tcBorders>
            <w:shd w:val="clear" w:color="000000" w:fill="000000"/>
            <w:vAlign w:val="center"/>
            <w:hideMark/>
          </w:tcPr>
          <w:p w:rsidR="00D02973" w:rsidRPr="0077021D" w:rsidRDefault="00D02973" w:rsidP="00DF2FAC">
            <w:pPr>
              <w:spacing w:after="0" w:line="240" w:lineRule="auto"/>
              <w:jc w:val="center"/>
              <w:rPr>
                <w:rFonts w:ascii="Arial Narrow" w:eastAsia="Times New Roman" w:hAnsi="Arial Narrow" w:cs="Times New Roman"/>
                <w:b/>
                <w:bCs/>
                <w:color w:val="FFFFFF"/>
                <w:sz w:val="16"/>
                <w:szCs w:val="18"/>
                <w:lang w:eastAsia="en-AU"/>
              </w:rPr>
            </w:pPr>
            <w:r w:rsidRPr="0077021D">
              <w:rPr>
                <w:rFonts w:ascii="Arial Narrow" w:eastAsia="Times New Roman" w:hAnsi="Arial Narrow" w:cs="Times New Roman"/>
                <w:b/>
                <w:bCs/>
                <w:color w:val="FFFFFF"/>
                <w:sz w:val="16"/>
                <w:szCs w:val="18"/>
                <w:lang w:eastAsia="en-AU"/>
              </w:rPr>
              <w:t>$4,928,000</w:t>
            </w:r>
          </w:p>
        </w:tc>
        <w:tc>
          <w:tcPr>
            <w:tcW w:w="907" w:type="dxa"/>
            <w:tcBorders>
              <w:top w:val="nil"/>
              <w:left w:val="nil"/>
              <w:bottom w:val="single" w:sz="8" w:space="0" w:color="auto"/>
              <w:right w:val="single" w:sz="8" w:space="0" w:color="auto"/>
            </w:tcBorders>
            <w:shd w:val="clear" w:color="000000" w:fill="000000"/>
            <w:vAlign w:val="center"/>
            <w:hideMark/>
          </w:tcPr>
          <w:p w:rsidR="00D02973" w:rsidRPr="0077021D" w:rsidRDefault="00D02973" w:rsidP="00DF2FAC">
            <w:pPr>
              <w:spacing w:after="0" w:line="240" w:lineRule="auto"/>
              <w:jc w:val="center"/>
              <w:rPr>
                <w:rFonts w:ascii="Arial Narrow" w:eastAsia="Times New Roman" w:hAnsi="Arial Narrow" w:cs="Times New Roman"/>
                <w:b/>
                <w:bCs/>
                <w:color w:val="FFFFFF"/>
                <w:sz w:val="16"/>
                <w:szCs w:val="18"/>
                <w:lang w:eastAsia="en-AU"/>
              </w:rPr>
            </w:pPr>
            <w:r w:rsidRPr="0077021D">
              <w:rPr>
                <w:rFonts w:ascii="Arial Narrow" w:eastAsia="Times New Roman" w:hAnsi="Arial Narrow" w:cs="Times New Roman"/>
                <w:b/>
                <w:bCs/>
                <w:color w:val="FFFFFF"/>
                <w:sz w:val="16"/>
                <w:szCs w:val="18"/>
                <w:lang w:eastAsia="en-AU"/>
              </w:rPr>
              <w:t>$5,125,000</w:t>
            </w:r>
          </w:p>
        </w:tc>
        <w:tc>
          <w:tcPr>
            <w:tcW w:w="907" w:type="dxa"/>
            <w:tcBorders>
              <w:top w:val="nil"/>
              <w:left w:val="nil"/>
              <w:bottom w:val="single" w:sz="8" w:space="0" w:color="auto"/>
              <w:right w:val="single" w:sz="8" w:space="0" w:color="auto"/>
            </w:tcBorders>
            <w:shd w:val="clear" w:color="000000" w:fill="000000"/>
            <w:vAlign w:val="center"/>
            <w:hideMark/>
          </w:tcPr>
          <w:p w:rsidR="00D02973" w:rsidRPr="0077021D" w:rsidRDefault="00D02973" w:rsidP="00DF2FAC">
            <w:pPr>
              <w:spacing w:after="0" w:line="240" w:lineRule="auto"/>
              <w:jc w:val="center"/>
              <w:rPr>
                <w:rFonts w:ascii="Arial Narrow" w:eastAsia="Times New Roman" w:hAnsi="Arial Narrow" w:cs="Times New Roman"/>
                <w:b/>
                <w:bCs/>
                <w:color w:val="FFFFFF"/>
                <w:sz w:val="16"/>
                <w:szCs w:val="18"/>
                <w:lang w:eastAsia="en-AU"/>
              </w:rPr>
            </w:pPr>
            <w:r w:rsidRPr="0077021D">
              <w:rPr>
                <w:rFonts w:ascii="Arial Narrow" w:eastAsia="Times New Roman" w:hAnsi="Arial Narrow" w:cs="Times New Roman"/>
                <w:b/>
                <w:bCs/>
                <w:color w:val="FFFFFF"/>
                <w:sz w:val="16"/>
                <w:szCs w:val="18"/>
                <w:lang w:eastAsia="en-AU"/>
              </w:rPr>
              <w:t>$5,330,000</w:t>
            </w:r>
          </w:p>
        </w:tc>
      </w:tr>
    </w:tbl>
    <w:p w:rsidR="00D02973" w:rsidRPr="00EA2F26" w:rsidRDefault="00D02973" w:rsidP="00D02973"/>
    <w:p w:rsidR="00D02973" w:rsidRPr="00EA2F26" w:rsidRDefault="00D02973" w:rsidP="00D02973">
      <w:pPr>
        <w:pStyle w:val="Heading3"/>
        <w:spacing w:after="200"/>
        <w:rPr>
          <w:rFonts w:asciiTheme="minorHAnsi" w:hAnsiTheme="minorHAnsi"/>
          <w:color w:val="595959" w:themeColor="text1" w:themeTint="A6"/>
        </w:rPr>
      </w:pPr>
      <w:bookmarkStart w:id="69" w:name="_Toc448475220"/>
      <w:r w:rsidRPr="00EA2F26">
        <w:rPr>
          <w:rFonts w:asciiTheme="minorHAnsi" w:hAnsiTheme="minorHAnsi"/>
          <w:color w:val="595959" w:themeColor="text1" w:themeTint="A6"/>
        </w:rPr>
        <w:t>5.1.3</w:t>
      </w:r>
      <w:r w:rsidRPr="00EA2F26">
        <w:rPr>
          <w:rFonts w:asciiTheme="minorHAnsi" w:hAnsiTheme="minorHAnsi"/>
          <w:color w:val="595959" w:themeColor="text1" w:themeTint="A6"/>
        </w:rPr>
        <w:tab/>
        <w:t>Funding Sources</w:t>
      </w:r>
      <w:bookmarkEnd w:id="69"/>
    </w:p>
    <w:p w:rsidR="00D02973" w:rsidRPr="00EA2F26" w:rsidRDefault="00D02973" w:rsidP="00D02973">
      <w:r w:rsidRPr="00EA2F26">
        <w:t>Open Space funding is drawn from a number of sources. In addition to direct funding from rates, improvements to the open space network are also funded through the sources outlined below.</w:t>
      </w:r>
    </w:p>
    <w:p w:rsidR="00D02973" w:rsidRPr="00EA2F26" w:rsidRDefault="00D02973" w:rsidP="00D02973">
      <w:pPr>
        <w:rPr>
          <w:u w:val="single"/>
        </w:rPr>
      </w:pPr>
      <w:r w:rsidRPr="00EA2F26">
        <w:rPr>
          <w:u w:val="single"/>
        </w:rPr>
        <w:t>Recreation and Open Spaces Income</w:t>
      </w:r>
    </w:p>
    <w:p w:rsidR="00D02973" w:rsidRPr="00EA2F26" w:rsidRDefault="00D02973" w:rsidP="00D02973">
      <w:r w:rsidRPr="00EA2F26">
        <w:t xml:space="preserve">Property management is a significant source of non-rate revenue for </w:t>
      </w:r>
      <w:r>
        <w:t>Council</w:t>
      </w:r>
      <w:r w:rsidRPr="00EA2F26">
        <w:t xml:space="preserve"> through the collection of rentals and other income. These range from Commercial leases (e.g. golf courses) to sports facility allocations (e.g. ovals) that usually also involve use of buildings or other facilities on the site.</w:t>
      </w:r>
    </w:p>
    <w:p w:rsidR="00D02973" w:rsidRPr="00EA2F26" w:rsidRDefault="00D02973" w:rsidP="00D02973">
      <w:r w:rsidRPr="00EA2F26">
        <w:t xml:space="preserve">There are a wide range of user charges and fees applied to different infrastructure, services and enforcement activities provided by </w:t>
      </w:r>
      <w:r>
        <w:t>Council</w:t>
      </w:r>
      <w:r w:rsidRPr="00EA2F26">
        <w:t xml:space="preserve">. </w:t>
      </w:r>
      <w:r>
        <w:t xml:space="preserve">Income from recreation and open space assets was $77,226 in 2014/15. </w:t>
      </w:r>
      <w:r>
        <w:rPr>
          <w:rStyle w:val="FootnoteReference"/>
        </w:rPr>
        <w:footnoteReference w:id="12"/>
      </w:r>
    </w:p>
    <w:p w:rsidR="00D02973" w:rsidRPr="00EA2F26" w:rsidRDefault="00D02973" w:rsidP="00D02973">
      <w:r w:rsidRPr="00EA2F26">
        <w:t xml:space="preserve">Leasing and use of </w:t>
      </w:r>
      <w:r>
        <w:t>Council</w:t>
      </w:r>
      <w:r w:rsidRPr="00EA2F26">
        <w:t xml:space="preserve"> recreation and open spaces is undertaken in accordance with </w:t>
      </w:r>
      <w:r>
        <w:t>Council</w:t>
      </w:r>
      <w:r w:rsidRPr="00EA2F26">
        <w:t>’s Leasing Policy and other use of community facilities policies. In some instances, in addition to the rental charges, the tenant is also required to undertake maintenance and/or upgrade of the recreation and open space as part of the leasing arrangement.</w:t>
      </w:r>
    </w:p>
    <w:p w:rsidR="00D02973" w:rsidRPr="00EA2F26" w:rsidRDefault="00D02973" w:rsidP="00D02973">
      <w:r w:rsidRPr="00EA2F26">
        <w:t xml:space="preserve">While commercial leases are intended to make an overall return to </w:t>
      </w:r>
      <w:r>
        <w:t>Council</w:t>
      </w:r>
      <w:r w:rsidRPr="00EA2F26">
        <w:t xml:space="preserve"> many of the community based arrangements only contribute in part to the cost of </w:t>
      </w:r>
      <w:r>
        <w:t>Council</w:t>
      </w:r>
      <w:r w:rsidRPr="00EA2F26">
        <w:t xml:space="preserve"> owning the facility.</w:t>
      </w:r>
    </w:p>
    <w:p w:rsidR="00D02973" w:rsidRPr="00EA2F26" w:rsidRDefault="00D02973" w:rsidP="00D02973">
      <w:pPr>
        <w:rPr>
          <w:rFonts w:eastAsiaTheme="majorEastAsia" w:cstheme="majorBidi"/>
          <w:b/>
          <w:bCs/>
          <w:color w:val="808080" w:themeColor="background1" w:themeShade="80"/>
        </w:rPr>
      </w:pPr>
      <w:r w:rsidRPr="00EA2F26">
        <w:t xml:space="preserve">At this stage the full impact of rental received, tenant maintenance obligations and </w:t>
      </w:r>
      <w:r>
        <w:t>Council</w:t>
      </w:r>
      <w:r w:rsidRPr="00EA2F26">
        <w:t xml:space="preserve"> funded responsibilities has not been fully assessed with respect to the asset management of these recreation and open spaces. It is proposed to review this situati</w:t>
      </w:r>
      <w:r>
        <w:t xml:space="preserve">on as part of the </w:t>
      </w:r>
      <w:r w:rsidRPr="00EA2F26">
        <w:t>Improvement Plan.</w:t>
      </w:r>
    </w:p>
    <w:p w:rsidR="00D02973" w:rsidRPr="00EA2F26" w:rsidRDefault="00D02973" w:rsidP="00D02973">
      <w:pPr>
        <w:rPr>
          <w:u w:val="single"/>
        </w:rPr>
      </w:pPr>
      <w:r w:rsidRPr="00EA2F26">
        <w:rPr>
          <w:u w:val="single"/>
        </w:rPr>
        <w:t xml:space="preserve">Developer Contributions and Other Funding Sources </w:t>
      </w:r>
    </w:p>
    <w:p w:rsidR="00D02973" w:rsidRPr="00EA2F26" w:rsidRDefault="00D02973" w:rsidP="00D02973">
      <w:r>
        <w:t>Council</w:t>
      </w:r>
      <w:r w:rsidRPr="00EA2F26">
        <w:t xml:space="preserve"> has a range of mechanisms available to fund the management and development of the open space network including: State and Federal Government grants; and</w:t>
      </w:r>
    </w:p>
    <w:p w:rsidR="00D02973" w:rsidRPr="00EA2F26" w:rsidRDefault="00D02973" w:rsidP="00D02973">
      <w:r w:rsidRPr="00EA2F26">
        <w:t xml:space="preserve">Contributions, levies and special rates </w:t>
      </w:r>
      <w:r>
        <w:t>Council</w:t>
      </w:r>
      <w:r w:rsidRPr="00EA2F26">
        <w:t xml:space="preserve"> is entitled to collect including:</w:t>
      </w:r>
    </w:p>
    <w:p w:rsidR="00D02973" w:rsidRPr="00EA2F26" w:rsidRDefault="00D02973" w:rsidP="00D02973">
      <w:pPr>
        <w:pStyle w:val="ListParagraph"/>
        <w:numPr>
          <w:ilvl w:val="0"/>
          <w:numId w:val="15"/>
        </w:numPr>
      </w:pPr>
      <w:r w:rsidRPr="00EA2F26">
        <w:t>Development Contributions under Part 3B of the Planning and Environment Act 1987</w:t>
      </w:r>
    </w:p>
    <w:p w:rsidR="00D02973" w:rsidRPr="00EA2F26" w:rsidRDefault="00D02973" w:rsidP="00D02973">
      <w:pPr>
        <w:pStyle w:val="ListParagraph"/>
        <w:numPr>
          <w:ilvl w:val="0"/>
          <w:numId w:val="15"/>
        </w:numPr>
      </w:pPr>
      <w:r w:rsidRPr="00EA2F26">
        <w:t>Open Space Contribution under Section 18 of the Subdivision Act 1988</w:t>
      </w:r>
    </w:p>
    <w:p w:rsidR="00D02973" w:rsidRPr="00EA2F26" w:rsidRDefault="00D02973" w:rsidP="00D02973">
      <w:pPr>
        <w:pStyle w:val="ListParagraph"/>
        <w:numPr>
          <w:ilvl w:val="0"/>
          <w:numId w:val="15"/>
        </w:numPr>
      </w:pPr>
      <w:r w:rsidRPr="00EA2F26">
        <w:t>Special Rate or Charge under Section 163 of the Local Government Act 1989</w:t>
      </w:r>
    </w:p>
    <w:p w:rsidR="00D02973" w:rsidRPr="00EA2F26" w:rsidRDefault="00D02973" w:rsidP="00D02973">
      <w:r w:rsidRPr="00EA2F26">
        <w:t>Whilst development contributions can be used to fund improvements to the open space network this requires a detailed identification of projects sought and compliance with the provisions of the Act in preparing a Development Contributions Plan.</w:t>
      </w:r>
    </w:p>
    <w:p w:rsidR="00D02973" w:rsidRPr="00EA2F26" w:rsidRDefault="00D02973" w:rsidP="00D02973">
      <w:r w:rsidRPr="00EA2F26">
        <w:t>Each of these sources of funding does, or has the potential to; contribute to the ongoing maintenance, renewal and development of the Bayside Open Space Network. The potential for other funding mechanisms also needs to be considered.</w:t>
      </w:r>
    </w:p>
    <w:p w:rsidR="00D02973" w:rsidRPr="00EA2F26" w:rsidRDefault="00D02973" w:rsidP="00D02973">
      <w:r>
        <w:t xml:space="preserve">A draft </w:t>
      </w:r>
      <w:r w:rsidRPr="00EA2F26">
        <w:t>Capital Contributions towards Community Sp</w:t>
      </w:r>
      <w:r>
        <w:t xml:space="preserve">ort and Recreation Facilities Policy has been developed, although this id yet tonto be adopted by Council. </w:t>
      </w:r>
      <w:r w:rsidRPr="00EA2F26">
        <w:t xml:space="preserve">The objective of this policy is to guide </w:t>
      </w:r>
      <w:r>
        <w:t>Council</w:t>
      </w:r>
      <w:r w:rsidRPr="00EA2F26">
        <w:t xml:space="preserve"> decisions with regard to assessing and prioritising the level and type of capital investment. As part of</w:t>
      </w:r>
      <w:r>
        <w:t xml:space="preserve"> the draft 2016/17 budget Council proposes</w:t>
      </w:r>
      <w:r w:rsidRPr="00EA2F26">
        <w:t xml:space="preserve"> to </w:t>
      </w:r>
      <w:r>
        <w:t xml:space="preserve">further </w:t>
      </w:r>
      <w:r w:rsidRPr="00EA2F26">
        <w:t>draw down on</w:t>
      </w:r>
      <w:r>
        <w:t xml:space="preserve"> the Open Space reserve from $1 to </w:t>
      </w:r>
      <w:r w:rsidRPr="00EA2F26">
        <w:t>$2 million a y</w:t>
      </w:r>
      <w:r>
        <w:t xml:space="preserve">ear. $1.5m will be directed to open space funding while </w:t>
      </w:r>
      <w:r w:rsidRPr="00EA2F26">
        <w:t>$0.5 million will be directed to funding the Playground Strategy.</w:t>
      </w:r>
    </w:p>
    <w:p w:rsidR="00D02973" w:rsidRPr="00EA2F26" w:rsidRDefault="00D02973" w:rsidP="00D02973">
      <w:pPr>
        <w:pStyle w:val="Heading2"/>
        <w:spacing w:after="200"/>
        <w:rPr>
          <w:rFonts w:asciiTheme="minorHAnsi" w:hAnsiTheme="minorHAnsi"/>
          <w:color w:val="808080" w:themeColor="background1" w:themeShade="80"/>
        </w:rPr>
      </w:pPr>
      <w:bookmarkStart w:id="70" w:name="_Toc448475221"/>
      <w:r w:rsidRPr="00EA2F26">
        <w:rPr>
          <w:rFonts w:asciiTheme="minorHAnsi" w:hAnsiTheme="minorHAnsi"/>
          <w:color w:val="808080" w:themeColor="background1" w:themeShade="80"/>
        </w:rPr>
        <w:t>5.2 Renewal Forecasts – Moloney Model Results</w:t>
      </w:r>
      <w:bookmarkEnd w:id="70"/>
    </w:p>
    <w:p w:rsidR="00D02973" w:rsidRPr="00EA2F26" w:rsidRDefault="00D02973" w:rsidP="00D02973">
      <w:r w:rsidRPr="00EA2F26">
        <w:t>The Moloney Model is a financial modelling tool used to predict future asset renewal expenditure requirements based on asset condition (or age) profiles and using generic asset deterioration curves, the model estimates degradation / consumption of the asset. Two modelling outcomes are available within the software:</w:t>
      </w:r>
    </w:p>
    <w:p w:rsidR="00D02973" w:rsidRPr="00EA2F26" w:rsidRDefault="00D02973" w:rsidP="00D02973">
      <w:pPr>
        <w:pStyle w:val="ListParagraph"/>
        <w:numPr>
          <w:ilvl w:val="0"/>
          <w:numId w:val="14"/>
        </w:numPr>
      </w:pPr>
      <w:r w:rsidRPr="00EA2F26">
        <w:t>Given a fixed – or predetermined expenditure level, the model predicts the overall average asset condition rating at a future date and plots a bar graph of asset condition versus asset amount; or</w:t>
      </w:r>
    </w:p>
    <w:p w:rsidR="00D02973" w:rsidRPr="00EA2F26" w:rsidRDefault="00D02973" w:rsidP="00D02973">
      <w:pPr>
        <w:pStyle w:val="ListParagraph"/>
        <w:numPr>
          <w:ilvl w:val="0"/>
          <w:numId w:val="14"/>
        </w:numPr>
      </w:pPr>
      <w:r w:rsidRPr="00EA2F26">
        <w:t xml:space="preserve">A desired minimum asset condition level is established and the model determines the required annual expenditure to achieve the predetermined asset condition level. </w:t>
      </w:r>
    </w:p>
    <w:p w:rsidR="00D02973" w:rsidRPr="00EA2F26" w:rsidRDefault="00D02973" w:rsidP="00D02973">
      <w:r w:rsidRPr="00EA2F26">
        <w:t>In the Moloney Renewal Model, the intervention point is known as the Retreatment Intervention Condition Level (RICL). The RICL is the point at which the asset has deteriorated to such a condition that it is economically prudent to initiate restoration works to bring the condition of that component back to the new</w:t>
      </w:r>
      <w:r>
        <w:t xml:space="preserve"> condition rating of zero (0).</w:t>
      </w:r>
    </w:p>
    <w:p w:rsidR="00D02973" w:rsidRPr="00EA2F26" w:rsidRDefault="00D02973" w:rsidP="00D02973">
      <w:pPr>
        <w:pStyle w:val="Para2"/>
        <w:spacing w:after="200" w:line="276" w:lineRule="auto"/>
        <w:ind w:left="0"/>
        <w:jc w:val="both"/>
        <w:rPr>
          <w:rFonts w:asciiTheme="minorHAnsi" w:eastAsiaTheme="minorHAnsi" w:hAnsiTheme="minorHAnsi" w:cstheme="minorBidi"/>
          <w:b/>
          <w:color w:val="auto"/>
          <w:sz w:val="22"/>
          <w:szCs w:val="22"/>
          <w:lang w:val="en-AU" w:eastAsia="en-US"/>
        </w:rPr>
      </w:pPr>
      <w:r w:rsidRPr="00EA2F26">
        <w:rPr>
          <w:rFonts w:asciiTheme="minorHAnsi" w:eastAsiaTheme="minorHAnsi" w:hAnsiTheme="minorHAnsi" w:cstheme="minorBidi"/>
          <w:b/>
          <w:color w:val="auto"/>
          <w:sz w:val="22"/>
          <w:szCs w:val="22"/>
          <w:lang w:val="en-AU" w:eastAsia="en-US"/>
        </w:rPr>
        <w:t xml:space="preserve">Figure </w:t>
      </w:r>
      <w:r>
        <w:rPr>
          <w:rFonts w:asciiTheme="minorHAnsi" w:eastAsiaTheme="minorHAnsi" w:hAnsiTheme="minorHAnsi" w:cstheme="minorBidi"/>
          <w:b/>
          <w:color w:val="auto"/>
          <w:sz w:val="22"/>
          <w:szCs w:val="22"/>
          <w:lang w:val="en-AU" w:eastAsia="en-US"/>
        </w:rPr>
        <w:t>7</w:t>
      </w:r>
      <w:r w:rsidRPr="00EA2F26">
        <w:rPr>
          <w:rFonts w:asciiTheme="minorHAnsi" w:eastAsiaTheme="minorHAnsi" w:hAnsiTheme="minorHAnsi" w:cstheme="minorBidi"/>
          <w:b/>
          <w:color w:val="auto"/>
          <w:sz w:val="22"/>
          <w:szCs w:val="22"/>
          <w:lang w:val="en-AU" w:eastAsia="en-US"/>
        </w:rPr>
        <w:t>: Default degradation profile used for Moloney Modelling</w:t>
      </w:r>
    </w:p>
    <w:p w:rsidR="00D02973" w:rsidRPr="00EA2F26" w:rsidRDefault="00D02973" w:rsidP="00D02973">
      <w:pPr>
        <w:pStyle w:val="Para2"/>
        <w:spacing w:after="200" w:line="276" w:lineRule="auto"/>
        <w:ind w:left="0"/>
        <w:jc w:val="both"/>
        <w:rPr>
          <w:rFonts w:asciiTheme="minorHAnsi" w:eastAsiaTheme="minorHAnsi" w:hAnsiTheme="minorHAnsi" w:cstheme="minorBidi"/>
          <w:color w:val="auto"/>
          <w:sz w:val="22"/>
          <w:szCs w:val="22"/>
          <w:lang w:val="en-AU" w:eastAsia="en-US"/>
        </w:rPr>
      </w:pPr>
      <w:r w:rsidRPr="00EA2F26">
        <w:rPr>
          <w:rFonts w:asciiTheme="minorHAnsi" w:hAnsiTheme="minorHAnsi"/>
          <w:noProof/>
          <w:lang w:val="en-AU"/>
        </w:rPr>
        <w:drawing>
          <wp:inline distT="0" distB="0" distL="0" distR="0" wp14:anchorId="03456F7A" wp14:editId="19D24C53">
            <wp:extent cx="5759450" cy="30714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3071415"/>
                    </a:xfrm>
                    <a:prstGeom prst="rect">
                      <a:avLst/>
                    </a:prstGeom>
                    <a:noFill/>
                    <a:ln>
                      <a:noFill/>
                    </a:ln>
                  </pic:spPr>
                </pic:pic>
              </a:graphicData>
            </a:graphic>
          </wp:inline>
        </w:drawing>
      </w:r>
    </w:p>
    <w:p w:rsidR="00D02973" w:rsidRPr="00EA2F26" w:rsidRDefault="00D02973" w:rsidP="00D02973">
      <w:r w:rsidRPr="00EA2F26">
        <w:t>The RICL range in the Moloney model is 0 to 10. An initial RICL has been used for the various recreation and open space components for the purposes of financial modelling within this Plan:</w:t>
      </w:r>
    </w:p>
    <w:p w:rsidR="00D02973" w:rsidRPr="00EA2F26" w:rsidRDefault="00D02973" w:rsidP="00D02973">
      <w:pPr>
        <w:rPr>
          <w:b/>
        </w:rPr>
      </w:pPr>
      <w:r w:rsidRPr="00EA2F26">
        <w:rPr>
          <w:b/>
        </w:rPr>
        <w:t>Table 12: Intervention Level Used in the Financial Modelling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6"/>
        <w:gridCol w:w="2107"/>
      </w:tblGrid>
      <w:tr w:rsidR="00D02973" w:rsidRPr="00EA2F26" w:rsidTr="00DF2FAC">
        <w:trPr>
          <w:trHeight w:val="110"/>
          <w:jc w:val="center"/>
        </w:trPr>
        <w:tc>
          <w:tcPr>
            <w:tcW w:w="3116" w:type="dxa"/>
          </w:tcPr>
          <w:p w:rsidR="00D02973" w:rsidRPr="00EA2F26" w:rsidRDefault="00D02973" w:rsidP="00DF2FAC">
            <w:pPr>
              <w:autoSpaceDE w:val="0"/>
              <w:autoSpaceDN w:val="0"/>
              <w:adjustRightInd w:val="0"/>
              <w:spacing w:after="0"/>
              <w:rPr>
                <w:rFonts w:cs="Calibri"/>
                <w:color w:val="000000"/>
              </w:rPr>
            </w:pPr>
            <w:r w:rsidRPr="00EA2F26">
              <w:rPr>
                <w:rFonts w:cs="Calibri"/>
                <w:b/>
                <w:bCs/>
                <w:color w:val="000000"/>
              </w:rPr>
              <w:t xml:space="preserve">Component </w:t>
            </w:r>
          </w:p>
        </w:tc>
        <w:tc>
          <w:tcPr>
            <w:tcW w:w="2107" w:type="dxa"/>
          </w:tcPr>
          <w:p w:rsidR="00D02973" w:rsidRPr="00EA2F26" w:rsidRDefault="00D02973" w:rsidP="00DF2FAC">
            <w:pPr>
              <w:autoSpaceDE w:val="0"/>
              <w:autoSpaceDN w:val="0"/>
              <w:adjustRightInd w:val="0"/>
              <w:spacing w:after="0"/>
              <w:rPr>
                <w:rFonts w:cs="Calibri"/>
                <w:color w:val="000000"/>
              </w:rPr>
            </w:pPr>
            <w:r w:rsidRPr="00EA2F26">
              <w:rPr>
                <w:rFonts w:cs="Calibri"/>
                <w:b/>
                <w:bCs/>
                <w:color w:val="000000"/>
              </w:rPr>
              <w:t xml:space="preserve">RICL </w:t>
            </w:r>
          </w:p>
        </w:tc>
      </w:tr>
      <w:tr w:rsidR="00D02973" w:rsidRPr="00EA2F26" w:rsidTr="00DF2FAC">
        <w:trPr>
          <w:trHeight w:val="110"/>
          <w:jc w:val="center"/>
        </w:trPr>
        <w:tc>
          <w:tcPr>
            <w:tcW w:w="3116" w:type="dxa"/>
          </w:tcPr>
          <w:p w:rsidR="00D02973" w:rsidRPr="00EA2F26" w:rsidRDefault="00D02973" w:rsidP="00DF2FAC">
            <w:pPr>
              <w:autoSpaceDE w:val="0"/>
              <w:autoSpaceDN w:val="0"/>
              <w:adjustRightInd w:val="0"/>
              <w:spacing w:after="0"/>
              <w:rPr>
                <w:rFonts w:cs="Calibri"/>
                <w:color w:val="000000"/>
              </w:rPr>
            </w:pPr>
            <w:r w:rsidRPr="00EA2F26">
              <w:rPr>
                <w:rFonts w:cs="Calibri"/>
                <w:color w:val="000000"/>
              </w:rPr>
              <w:t xml:space="preserve">Playgrounds </w:t>
            </w:r>
          </w:p>
        </w:tc>
        <w:tc>
          <w:tcPr>
            <w:tcW w:w="2107" w:type="dxa"/>
          </w:tcPr>
          <w:p w:rsidR="00D02973" w:rsidRPr="00EA2F26" w:rsidRDefault="00D02973" w:rsidP="00DF2FAC">
            <w:pPr>
              <w:autoSpaceDE w:val="0"/>
              <w:autoSpaceDN w:val="0"/>
              <w:adjustRightInd w:val="0"/>
              <w:spacing w:after="0"/>
              <w:rPr>
                <w:rFonts w:cs="Calibri"/>
                <w:color w:val="000000"/>
              </w:rPr>
            </w:pPr>
            <w:r w:rsidRPr="00EA2F26">
              <w:rPr>
                <w:rFonts w:cs="Calibri"/>
                <w:color w:val="000000"/>
              </w:rPr>
              <w:t xml:space="preserve">8 </w:t>
            </w:r>
          </w:p>
        </w:tc>
      </w:tr>
      <w:tr w:rsidR="00D02973" w:rsidRPr="00EA2F26" w:rsidTr="00DF2FAC">
        <w:trPr>
          <w:trHeight w:val="110"/>
          <w:jc w:val="center"/>
        </w:trPr>
        <w:tc>
          <w:tcPr>
            <w:tcW w:w="3116" w:type="dxa"/>
          </w:tcPr>
          <w:p w:rsidR="00D02973" w:rsidRPr="00EA2F26" w:rsidRDefault="00D02973" w:rsidP="00DF2FAC">
            <w:pPr>
              <w:autoSpaceDE w:val="0"/>
              <w:autoSpaceDN w:val="0"/>
              <w:adjustRightInd w:val="0"/>
              <w:spacing w:after="0"/>
              <w:rPr>
                <w:rFonts w:cs="Calibri"/>
                <w:color w:val="000000"/>
              </w:rPr>
            </w:pPr>
            <w:r w:rsidRPr="00EA2F26">
              <w:rPr>
                <w:rFonts w:cs="Calibri"/>
                <w:color w:val="000000"/>
              </w:rPr>
              <w:t xml:space="preserve">Sports Fields </w:t>
            </w:r>
          </w:p>
        </w:tc>
        <w:tc>
          <w:tcPr>
            <w:tcW w:w="2107" w:type="dxa"/>
          </w:tcPr>
          <w:p w:rsidR="00D02973" w:rsidRPr="00EA2F26" w:rsidRDefault="00D02973" w:rsidP="00DF2FAC">
            <w:pPr>
              <w:autoSpaceDE w:val="0"/>
              <w:autoSpaceDN w:val="0"/>
              <w:adjustRightInd w:val="0"/>
              <w:spacing w:after="0"/>
              <w:rPr>
                <w:rFonts w:cs="Calibri"/>
                <w:color w:val="000000"/>
              </w:rPr>
            </w:pPr>
            <w:r w:rsidRPr="00EA2F26">
              <w:rPr>
                <w:rFonts w:cs="Calibri"/>
                <w:color w:val="000000"/>
              </w:rPr>
              <w:t xml:space="preserve">8 </w:t>
            </w:r>
          </w:p>
        </w:tc>
      </w:tr>
      <w:tr w:rsidR="00D02973" w:rsidRPr="00EA2F26" w:rsidTr="00DF2FAC">
        <w:trPr>
          <w:trHeight w:val="110"/>
          <w:jc w:val="center"/>
        </w:trPr>
        <w:tc>
          <w:tcPr>
            <w:tcW w:w="3116" w:type="dxa"/>
          </w:tcPr>
          <w:p w:rsidR="00D02973" w:rsidRPr="00EA2F26" w:rsidRDefault="00D02973" w:rsidP="00DF2FAC">
            <w:pPr>
              <w:autoSpaceDE w:val="0"/>
              <w:autoSpaceDN w:val="0"/>
              <w:adjustRightInd w:val="0"/>
              <w:spacing w:after="0"/>
              <w:rPr>
                <w:rFonts w:cs="Calibri"/>
                <w:color w:val="000000"/>
              </w:rPr>
            </w:pPr>
            <w:r w:rsidRPr="00EA2F26">
              <w:rPr>
                <w:rFonts w:cs="Calibri"/>
                <w:color w:val="000000"/>
              </w:rPr>
              <w:t xml:space="preserve">Sports Facility Infrastructure </w:t>
            </w:r>
          </w:p>
        </w:tc>
        <w:tc>
          <w:tcPr>
            <w:tcW w:w="2107" w:type="dxa"/>
          </w:tcPr>
          <w:p w:rsidR="00D02973" w:rsidRPr="00EA2F26" w:rsidRDefault="00D02973" w:rsidP="00DF2FAC">
            <w:pPr>
              <w:autoSpaceDE w:val="0"/>
              <w:autoSpaceDN w:val="0"/>
              <w:adjustRightInd w:val="0"/>
              <w:spacing w:after="0"/>
              <w:rPr>
                <w:rFonts w:cs="Calibri"/>
                <w:color w:val="000000"/>
              </w:rPr>
            </w:pPr>
            <w:r w:rsidRPr="00EA2F26">
              <w:rPr>
                <w:rFonts w:cs="Calibri"/>
                <w:color w:val="000000"/>
              </w:rPr>
              <w:t xml:space="preserve">8 </w:t>
            </w:r>
          </w:p>
        </w:tc>
      </w:tr>
      <w:tr w:rsidR="00D02973" w:rsidRPr="00EA2F26" w:rsidTr="00DF2FAC">
        <w:trPr>
          <w:trHeight w:val="110"/>
          <w:jc w:val="center"/>
        </w:trPr>
        <w:tc>
          <w:tcPr>
            <w:tcW w:w="3116" w:type="dxa"/>
          </w:tcPr>
          <w:p w:rsidR="00D02973" w:rsidRPr="00EA2F26" w:rsidRDefault="00D02973" w:rsidP="00DF2FAC">
            <w:pPr>
              <w:autoSpaceDE w:val="0"/>
              <w:autoSpaceDN w:val="0"/>
              <w:adjustRightInd w:val="0"/>
              <w:spacing w:after="0"/>
              <w:rPr>
                <w:rFonts w:cs="Calibri"/>
                <w:color w:val="000000"/>
              </w:rPr>
            </w:pPr>
            <w:r w:rsidRPr="00EA2F26">
              <w:rPr>
                <w:rFonts w:cs="Calibri"/>
                <w:color w:val="000000"/>
              </w:rPr>
              <w:t xml:space="preserve">Park Furniture </w:t>
            </w:r>
          </w:p>
        </w:tc>
        <w:tc>
          <w:tcPr>
            <w:tcW w:w="2107" w:type="dxa"/>
          </w:tcPr>
          <w:p w:rsidR="00D02973" w:rsidRPr="00EA2F26" w:rsidRDefault="00D02973" w:rsidP="00DF2FAC">
            <w:pPr>
              <w:autoSpaceDE w:val="0"/>
              <w:autoSpaceDN w:val="0"/>
              <w:adjustRightInd w:val="0"/>
              <w:spacing w:after="0"/>
              <w:rPr>
                <w:rFonts w:cs="Calibri"/>
                <w:color w:val="000000"/>
              </w:rPr>
            </w:pPr>
            <w:r w:rsidRPr="00EA2F26">
              <w:rPr>
                <w:rFonts w:cs="Calibri"/>
                <w:color w:val="000000"/>
              </w:rPr>
              <w:t xml:space="preserve">8 </w:t>
            </w:r>
          </w:p>
        </w:tc>
      </w:tr>
      <w:tr w:rsidR="00D02973" w:rsidRPr="00EA2F26" w:rsidTr="00DF2FAC">
        <w:trPr>
          <w:trHeight w:val="244"/>
          <w:jc w:val="center"/>
        </w:trPr>
        <w:tc>
          <w:tcPr>
            <w:tcW w:w="3116" w:type="dxa"/>
          </w:tcPr>
          <w:p w:rsidR="00D02973" w:rsidRPr="00EA2F26" w:rsidRDefault="00D02973" w:rsidP="00DF2FAC">
            <w:pPr>
              <w:autoSpaceDE w:val="0"/>
              <w:autoSpaceDN w:val="0"/>
              <w:adjustRightInd w:val="0"/>
              <w:spacing w:after="0"/>
              <w:rPr>
                <w:rFonts w:cs="Calibri"/>
                <w:color w:val="000000"/>
              </w:rPr>
            </w:pPr>
            <w:r w:rsidRPr="00EA2F26">
              <w:rPr>
                <w:rFonts w:cs="Calibri"/>
                <w:color w:val="000000"/>
              </w:rPr>
              <w:t xml:space="preserve">Other Infrastructure and Equipment </w:t>
            </w:r>
          </w:p>
        </w:tc>
        <w:tc>
          <w:tcPr>
            <w:tcW w:w="2107" w:type="dxa"/>
          </w:tcPr>
          <w:p w:rsidR="00D02973" w:rsidRPr="00EA2F26" w:rsidRDefault="00D02973" w:rsidP="00DF2FAC">
            <w:pPr>
              <w:autoSpaceDE w:val="0"/>
              <w:autoSpaceDN w:val="0"/>
              <w:adjustRightInd w:val="0"/>
              <w:spacing w:after="0"/>
              <w:rPr>
                <w:rFonts w:cs="Calibri"/>
                <w:color w:val="000000"/>
              </w:rPr>
            </w:pPr>
            <w:r w:rsidRPr="00EA2F26">
              <w:rPr>
                <w:rFonts w:cs="Calibri"/>
                <w:color w:val="000000"/>
              </w:rPr>
              <w:t xml:space="preserve">8 </w:t>
            </w:r>
          </w:p>
        </w:tc>
      </w:tr>
      <w:tr w:rsidR="00D02973" w:rsidRPr="00EA2F26" w:rsidTr="00DF2FAC">
        <w:trPr>
          <w:trHeight w:val="243"/>
          <w:jc w:val="center"/>
        </w:trPr>
        <w:tc>
          <w:tcPr>
            <w:tcW w:w="3116" w:type="dxa"/>
          </w:tcPr>
          <w:p w:rsidR="00D02973" w:rsidRPr="00EA2F26" w:rsidRDefault="00D02973" w:rsidP="00DF2FAC">
            <w:pPr>
              <w:autoSpaceDE w:val="0"/>
              <w:autoSpaceDN w:val="0"/>
              <w:adjustRightInd w:val="0"/>
              <w:spacing w:after="0"/>
              <w:rPr>
                <w:rFonts w:cs="Calibri"/>
                <w:color w:val="000000"/>
              </w:rPr>
            </w:pPr>
            <w:r w:rsidRPr="00EA2F26">
              <w:rPr>
                <w:rFonts w:cs="Calibri"/>
                <w:color w:val="000000"/>
              </w:rPr>
              <w:t xml:space="preserve">Parks </w:t>
            </w:r>
          </w:p>
        </w:tc>
        <w:tc>
          <w:tcPr>
            <w:tcW w:w="2107" w:type="dxa"/>
          </w:tcPr>
          <w:p w:rsidR="00D02973" w:rsidRPr="00EA2F26" w:rsidRDefault="00D02973" w:rsidP="00DF2FAC">
            <w:pPr>
              <w:autoSpaceDE w:val="0"/>
              <w:autoSpaceDN w:val="0"/>
              <w:adjustRightInd w:val="0"/>
              <w:spacing w:after="0"/>
              <w:rPr>
                <w:rFonts w:cs="Calibri"/>
                <w:color w:val="000000"/>
              </w:rPr>
            </w:pPr>
            <w:r w:rsidRPr="00EA2F26">
              <w:rPr>
                <w:rFonts w:cs="Calibri"/>
                <w:color w:val="000000"/>
              </w:rPr>
              <w:t xml:space="preserve">Not Modelled </w:t>
            </w:r>
          </w:p>
        </w:tc>
      </w:tr>
      <w:tr w:rsidR="00D02973" w:rsidRPr="00EA2F26" w:rsidTr="00DF2FAC">
        <w:trPr>
          <w:trHeight w:val="244"/>
          <w:jc w:val="center"/>
        </w:trPr>
        <w:tc>
          <w:tcPr>
            <w:tcW w:w="3116" w:type="dxa"/>
          </w:tcPr>
          <w:p w:rsidR="00D02973" w:rsidRPr="00EA2F26" w:rsidRDefault="00D02973" w:rsidP="00DF2FAC">
            <w:pPr>
              <w:autoSpaceDE w:val="0"/>
              <w:autoSpaceDN w:val="0"/>
              <w:adjustRightInd w:val="0"/>
              <w:spacing w:after="0"/>
              <w:rPr>
                <w:rFonts w:cs="Calibri"/>
                <w:color w:val="000000"/>
              </w:rPr>
            </w:pPr>
            <w:r w:rsidRPr="00EA2F26">
              <w:rPr>
                <w:rFonts w:cs="Calibri"/>
                <w:color w:val="000000"/>
              </w:rPr>
              <w:t xml:space="preserve">Conservation Reserves </w:t>
            </w:r>
          </w:p>
        </w:tc>
        <w:tc>
          <w:tcPr>
            <w:tcW w:w="2107" w:type="dxa"/>
          </w:tcPr>
          <w:p w:rsidR="00D02973" w:rsidRPr="00EA2F26" w:rsidRDefault="00D02973" w:rsidP="00DF2FAC">
            <w:pPr>
              <w:autoSpaceDE w:val="0"/>
              <w:autoSpaceDN w:val="0"/>
              <w:adjustRightInd w:val="0"/>
              <w:spacing w:after="0"/>
              <w:rPr>
                <w:rFonts w:cs="Calibri"/>
                <w:color w:val="000000"/>
              </w:rPr>
            </w:pPr>
            <w:r w:rsidRPr="00EA2F26">
              <w:rPr>
                <w:rFonts w:cs="Calibri"/>
                <w:color w:val="000000"/>
              </w:rPr>
              <w:t xml:space="preserve">Not Modelled </w:t>
            </w:r>
          </w:p>
        </w:tc>
      </w:tr>
    </w:tbl>
    <w:p w:rsidR="00D02973" w:rsidRPr="00EA2F26" w:rsidRDefault="00D02973" w:rsidP="00D02973">
      <w:pPr>
        <w:rPr>
          <w:sz w:val="23"/>
          <w:szCs w:val="23"/>
        </w:rPr>
      </w:pPr>
    </w:p>
    <w:p w:rsidR="00D02973" w:rsidRPr="00EA2F26" w:rsidRDefault="00D02973" w:rsidP="00D02973">
      <w:r w:rsidRPr="00EA2F26">
        <w:t xml:space="preserve">Key Assumptions in Moloney Modelling Expenditure Forecasts are detailed in Appendix </w:t>
      </w:r>
      <w:bookmarkStart w:id="71" w:name="_Toc279050852"/>
      <w:r w:rsidRPr="00EA2F26">
        <w:t>5.</w:t>
      </w:r>
    </w:p>
    <w:p w:rsidR="00D02973" w:rsidRPr="00EA2F26" w:rsidRDefault="00D02973" w:rsidP="00D02973">
      <w:r w:rsidRPr="00EA2F26">
        <w:t>Figures 7 and 8 demonstrate the Retreatment Intervention Condition Level (RICL) renewal funding requirements for the retention of selected asset components for the next 20 years. The average annual renewal demand over 20 years for both Recreation and Open Space asset (trees excluded) is $1.11M/annum with the current peak, as modelled, being in 2018/19 at $2.84M.</w:t>
      </w:r>
    </w:p>
    <w:p w:rsidR="00D02973" w:rsidRPr="00EA2F26" w:rsidRDefault="00D02973" w:rsidP="00D02973">
      <w:pPr>
        <w:rPr>
          <w:b/>
          <w:bCs/>
        </w:rPr>
      </w:pPr>
      <w:r>
        <w:rPr>
          <w:b/>
          <w:bCs/>
        </w:rPr>
        <w:t>Figure 8</w:t>
      </w:r>
      <w:r w:rsidRPr="00EA2F26">
        <w:rPr>
          <w:b/>
          <w:bCs/>
        </w:rPr>
        <w:t>: Predicted Renewal Split by Major Component of the Recreation Assets Group</w:t>
      </w:r>
      <w:r w:rsidRPr="00EA2F26">
        <w:rPr>
          <w:rStyle w:val="FootnoteReference"/>
          <w:b/>
          <w:bCs/>
        </w:rPr>
        <w:footnoteReference w:id="13"/>
      </w:r>
    </w:p>
    <w:p w:rsidR="00D02973" w:rsidRPr="00EA2F26" w:rsidRDefault="00D02973" w:rsidP="00D02973">
      <w:pPr>
        <w:ind w:left="-709"/>
        <w:rPr>
          <w:b/>
          <w:bCs/>
        </w:rPr>
      </w:pPr>
      <w:r w:rsidRPr="00EA2F26">
        <w:rPr>
          <w:b/>
          <w:bCs/>
          <w:noProof/>
          <w:lang w:eastAsia="en-AU"/>
        </w:rPr>
        <w:drawing>
          <wp:inline distT="0" distB="0" distL="0" distR="0" wp14:anchorId="33C6DE0D" wp14:editId="6F4177A7">
            <wp:extent cx="6587944" cy="3679372"/>
            <wp:effectExtent l="19050" t="0" r="3356"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srcRect/>
                    <a:stretch>
                      <a:fillRect/>
                    </a:stretch>
                  </pic:blipFill>
                  <pic:spPr bwMode="auto">
                    <a:xfrm>
                      <a:off x="0" y="0"/>
                      <a:ext cx="6589970" cy="3680504"/>
                    </a:xfrm>
                    <a:prstGeom prst="rect">
                      <a:avLst/>
                    </a:prstGeom>
                    <a:noFill/>
                  </pic:spPr>
                </pic:pic>
              </a:graphicData>
            </a:graphic>
          </wp:inline>
        </w:drawing>
      </w:r>
    </w:p>
    <w:p w:rsidR="00D02973" w:rsidRPr="00EA2F26" w:rsidRDefault="00D02973" w:rsidP="00D02973">
      <w:pPr>
        <w:autoSpaceDE w:val="0"/>
        <w:autoSpaceDN w:val="0"/>
        <w:adjustRightInd w:val="0"/>
        <w:rPr>
          <w:rFonts w:cs="Calibri"/>
          <w:b/>
          <w:bCs/>
          <w:color w:val="000000"/>
        </w:rPr>
      </w:pPr>
      <w:r w:rsidRPr="00EA2F26">
        <w:rPr>
          <w:rFonts w:cs="Calibri"/>
          <w:b/>
          <w:bCs/>
          <w:color w:val="000000"/>
        </w:rPr>
        <w:t>Figure</w:t>
      </w:r>
      <w:r>
        <w:rPr>
          <w:rFonts w:cs="Calibri"/>
          <w:b/>
          <w:bCs/>
          <w:color w:val="000000"/>
        </w:rPr>
        <w:t xml:space="preserve"> 9</w:t>
      </w:r>
      <w:r w:rsidRPr="00EA2F26">
        <w:rPr>
          <w:rFonts w:cs="Calibri"/>
          <w:b/>
          <w:bCs/>
          <w:color w:val="000000"/>
        </w:rPr>
        <w:t xml:space="preserve">: Predicted Renewal Split by Major Component of the Open Spaces Assets Group </w:t>
      </w:r>
    </w:p>
    <w:p w:rsidR="00D02973" w:rsidRPr="00EA2F26" w:rsidRDefault="00D02973" w:rsidP="00D02973">
      <w:pPr>
        <w:autoSpaceDE w:val="0"/>
        <w:autoSpaceDN w:val="0"/>
        <w:adjustRightInd w:val="0"/>
        <w:ind w:left="-426"/>
        <w:rPr>
          <w:rFonts w:cs="Calibri"/>
          <w:b/>
          <w:bCs/>
          <w:color w:val="000000"/>
        </w:rPr>
      </w:pPr>
      <w:r w:rsidRPr="00EA2F26">
        <w:rPr>
          <w:rFonts w:cs="Calibri"/>
          <w:b/>
          <w:bCs/>
          <w:noProof/>
          <w:color w:val="000000"/>
          <w:lang w:eastAsia="en-AU"/>
        </w:rPr>
        <w:drawing>
          <wp:inline distT="0" distB="0" distL="0" distR="0" wp14:anchorId="3D984731" wp14:editId="15EFF0A7">
            <wp:extent cx="6526530" cy="3582745"/>
            <wp:effectExtent l="19050" t="0" r="7620"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srcRect/>
                    <a:stretch>
                      <a:fillRect/>
                    </a:stretch>
                  </pic:blipFill>
                  <pic:spPr bwMode="auto">
                    <a:xfrm>
                      <a:off x="0" y="0"/>
                      <a:ext cx="6525269" cy="3582053"/>
                    </a:xfrm>
                    <a:prstGeom prst="rect">
                      <a:avLst/>
                    </a:prstGeom>
                    <a:noFill/>
                  </pic:spPr>
                </pic:pic>
              </a:graphicData>
            </a:graphic>
          </wp:inline>
        </w:drawing>
      </w:r>
    </w:p>
    <w:p w:rsidR="00D02973" w:rsidRPr="00EA2F26" w:rsidRDefault="00D02973" w:rsidP="00D02973">
      <w:pPr>
        <w:autoSpaceDE w:val="0"/>
        <w:autoSpaceDN w:val="0"/>
        <w:adjustRightInd w:val="0"/>
        <w:rPr>
          <w:rFonts w:cs="Calibri"/>
          <w:color w:val="000000"/>
        </w:rPr>
      </w:pPr>
      <w:r w:rsidRPr="00EA2F26">
        <w:rPr>
          <w:rFonts w:cs="Calibri"/>
          <w:color w:val="000000"/>
        </w:rPr>
        <w:t xml:space="preserve">Figures 9 and 10 compare the predicted annual renewal requirement against the proposed expenditure (i.e. the current level of expenditure projected across 2015 – 2025). It should be noted that while proposed expenditure over the next 2 years is above that predicted by the model, after 2014/15 proposed renewal expenditure falls short of the predicted requirement. </w:t>
      </w:r>
    </w:p>
    <w:p w:rsidR="00D02973" w:rsidRPr="00EA2F26" w:rsidRDefault="00D02973" w:rsidP="00D02973">
      <w:pPr>
        <w:rPr>
          <w:rFonts w:cs="Calibri"/>
          <w:b/>
          <w:bCs/>
          <w:color w:val="000000"/>
        </w:rPr>
      </w:pPr>
      <w:r>
        <w:rPr>
          <w:rFonts w:cs="Calibri"/>
          <w:b/>
          <w:bCs/>
          <w:color w:val="000000"/>
        </w:rPr>
        <w:t>Figure 10</w:t>
      </w:r>
      <w:r w:rsidRPr="00EA2F26">
        <w:rPr>
          <w:rFonts w:cs="Calibri"/>
          <w:b/>
          <w:bCs/>
          <w:color w:val="000000"/>
        </w:rPr>
        <w:t>: Predicted Renewal Requirement v Current Proposed Renewal Expenditure – All Recreation Assets Group</w:t>
      </w:r>
      <w:r w:rsidRPr="00EA2F26">
        <w:rPr>
          <w:rStyle w:val="FootnoteReference"/>
          <w:b/>
          <w:bCs/>
          <w:color w:val="000000"/>
        </w:rPr>
        <w:footnoteReference w:id="14"/>
      </w:r>
    </w:p>
    <w:p w:rsidR="00D02973" w:rsidRPr="00EA2F26" w:rsidRDefault="00D02973" w:rsidP="00D02973">
      <w:pPr>
        <w:ind w:left="-426"/>
        <w:rPr>
          <w:rFonts w:cs="Calibri"/>
          <w:b/>
          <w:bCs/>
          <w:color w:val="000000"/>
        </w:rPr>
      </w:pPr>
      <w:r w:rsidRPr="00EA2F26">
        <w:rPr>
          <w:rFonts w:cs="Calibri"/>
          <w:b/>
          <w:bCs/>
          <w:noProof/>
          <w:color w:val="000000"/>
          <w:lang w:eastAsia="en-AU"/>
        </w:rPr>
        <w:drawing>
          <wp:inline distT="0" distB="0" distL="0" distR="0" wp14:anchorId="30F005F1" wp14:editId="0320CF23">
            <wp:extent cx="6293568" cy="3648075"/>
            <wp:effectExtent l="1905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srcRect/>
                    <a:stretch>
                      <a:fillRect/>
                    </a:stretch>
                  </pic:blipFill>
                  <pic:spPr bwMode="auto">
                    <a:xfrm>
                      <a:off x="0" y="0"/>
                      <a:ext cx="6301550" cy="3652702"/>
                    </a:xfrm>
                    <a:prstGeom prst="rect">
                      <a:avLst/>
                    </a:prstGeom>
                    <a:noFill/>
                  </pic:spPr>
                </pic:pic>
              </a:graphicData>
            </a:graphic>
          </wp:inline>
        </w:drawing>
      </w:r>
    </w:p>
    <w:p w:rsidR="00D02973" w:rsidRPr="00EA2F26" w:rsidRDefault="00D02973" w:rsidP="00D02973">
      <w:pPr>
        <w:rPr>
          <w:b/>
          <w:bCs/>
        </w:rPr>
      </w:pPr>
      <w:r>
        <w:rPr>
          <w:b/>
          <w:bCs/>
        </w:rPr>
        <w:t>Figure 11</w:t>
      </w:r>
      <w:r w:rsidRPr="00EA2F26">
        <w:rPr>
          <w:b/>
          <w:bCs/>
        </w:rPr>
        <w:t>: Predicted Renewal Requirement v Current Proposed Renewal Expenditure – All Open Spaces Assets Group (Data source is file: Asset Graphs, Open Space Group, Graph 4)</w:t>
      </w:r>
      <w:r w:rsidRPr="00EA2F26">
        <w:rPr>
          <w:rStyle w:val="FootnoteReference"/>
          <w:b/>
          <w:bCs/>
        </w:rPr>
        <w:footnoteReference w:id="15"/>
      </w:r>
    </w:p>
    <w:p w:rsidR="00D02973" w:rsidRPr="00EA2F26" w:rsidRDefault="00D02973" w:rsidP="00D02973">
      <w:pPr>
        <w:ind w:left="-567"/>
        <w:rPr>
          <w:b/>
          <w:bCs/>
        </w:rPr>
      </w:pPr>
      <w:r w:rsidRPr="00EA2F26">
        <w:rPr>
          <w:b/>
          <w:bCs/>
          <w:noProof/>
          <w:lang w:eastAsia="en-AU"/>
        </w:rPr>
        <w:drawing>
          <wp:inline distT="0" distB="0" distL="0" distR="0" wp14:anchorId="1CB72A5D" wp14:editId="39E0F18D">
            <wp:extent cx="6140985" cy="3559628"/>
            <wp:effectExtent l="19050" t="0" r="0"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srcRect/>
                    <a:stretch>
                      <a:fillRect/>
                    </a:stretch>
                  </pic:blipFill>
                  <pic:spPr bwMode="auto">
                    <a:xfrm>
                      <a:off x="0" y="0"/>
                      <a:ext cx="6138176" cy="3558000"/>
                    </a:xfrm>
                    <a:prstGeom prst="rect">
                      <a:avLst/>
                    </a:prstGeom>
                    <a:noFill/>
                  </pic:spPr>
                </pic:pic>
              </a:graphicData>
            </a:graphic>
          </wp:inline>
        </w:drawing>
      </w:r>
    </w:p>
    <w:p w:rsidR="00D02973" w:rsidRPr="00DF2FAC" w:rsidRDefault="00D02973" w:rsidP="00D02973">
      <w:pPr>
        <w:pStyle w:val="Heading1"/>
        <w:spacing w:after="200"/>
        <w:rPr>
          <w:rFonts w:asciiTheme="minorHAnsi" w:hAnsiTheme="minorHAnsi"/>
        </w:rPr>
      </w:pPr>
      <w:bookmarkStart w:id="72" w:name="_Toc448475222"/>
      <w:r w:rsidRPr="00DF2FAC">
        <w:rPr>
          <w:rFonts w:asciiTheme="minorHAnsi" w:hAnsiTheme="minorHAnsi"/>
        </w:rPr>
        <w:t xml:space="preserve">6.0 </w:t>
      </w:r>
      <w:r w:rsidRPr="00DF2FAC">
        <w:rPr>
          <w:rFonts w:asciiTheme="minorHAnsi" w:hAnsiTheme="minorHAnsi"/>
        </w:rPr>
        <w:tab/>
        <w:t>Inputs to the Recreation and Open Space Financial Forecast</w:t>
      </w:r>
      <w:bookmarkEnd w:id="72"/>
    </w:p>
    <w:p w:rsidR="00D02973" w:rsidRPr="00DF2FAC" w:rsidRDefault="00D02973" w:rsidP="00D02973">
      <w:pPr>
        <w:pStyle w:val="Heading2"/>
        <w:spacing w:after="200"/>
        <w:rPr>
          <w:rFonts w:asciiTheme="minorHAnsi" w:hAnsiTheme="minorHAnsi"/>
          <w:color w:val="2E74B5" w:themeColor="accent1" w:themeShade="BF"/>
        </w:rPr>
      </w:pPr>
      <w:bookmarkStart w:id="73" w:name="_Toc448475223"/>
      <w:r w:rsidRPr="00DF2FAC">
        <w:rPr>
          <w:rFonts w:asciiTheme="minorHAnsi" w:hAnsiTheme="minorHAnsi"/>
          <w:color w:val="2E74B5" w:themeColor="accent1" w:themeShade="BF"/>
        </w:rPr>
        <w:t>6.1</w:t>
      </w:r>
      <w:r w:rsidRPr="00DF2FAC">
        <w:rPr>
          <w:rFonts w:asciiTheme="minorHAnsi" w:hAnsiTheme="minorHAnsi"/>
          <w:color w:val="2E74B5" w:themeColor="accent1" w:themeShade="BF"/>
        </w:rPr>
        <w:tab/>
        <w:t>Overview</w:t>
      </w:r>
      <w:bookmarkEnd w:id="73"/>
    </w:p>
    <w:p w:rsidR="00D02973" w:rsidRPr="00EA2F26" w:rsidRDefault="00D02973" w:rsidP="00D02973">
      <w:r w:rsidRPr="00EA2F26">
        <w:t xml:space="preserve">The financial requirements resulting from the information presented in preceding sections of the R&amp;OS-AMP are summarised below. These financial projections will continue to improve in accuracy as further information becomes available on the expectations of levels of service from the community and on current and projected asset performance. </w:t>
      </w:r>
    </w:p>
    <w:p w:rsidR="00D02973" w:rsidRPr="00EA2F26" w:rsidRDefault="00D02973" w:rsidP="00D02973">
      <w:r w:rsidRPr="00EA2F26">
        <w:t xml:space="preserve">These projections will need to be reviewed annually to reflect the actual funding allocated and the scope of the works achieved. For example, if only a fraction of the required renewal budget is allocated or a fraction of the renewal work can be completed within the allocated budget, the result will be a significant impact on the future funding needs and overall asset performance targets being met. </w:t>
      </w:r>
    </w:p>
    <w:p w:rsidR="00D02973" w:rsidRPr="00EA2F26" w:rsidRDefault="00D02973" w:rsidP="00D02973">
      <w:pPr>
        <w:pStyle w:val="Heading2"/>
        <w:spacing w:after="200"/>
        <w:rPr>
          <w:rFonts w:asciiTheme="minorHAnsi" w:hAnsiTheme="minorHAnsi"/>
          <w:color w:val="808080" w:themeColor="background1" w:themeShade="80"/>
        </w:rPr>
      </w:pPr>
      <w:bookmarkStart w:id="74" w:name="_Toc448475224"/>
      <w:r w:rsidRPr="00EA2F26">
        <w:rPr>
          <w:rFonts w:asciiTheme="minorHAnsi" w:hAnsiTheme="minorHAnsi"/>
          <w:color w:val="808080" w:themeColor="background1" w:themeShade="80"/>
        </w:rPr>
        <w:t>6.2</w:t>
      </w:r>
      <w:r w:rsidRPr="00EA2F26">
        <w:rPr>
          <w:rFonts w:asciiTheme="minorHAnsi" w:hAnsiTheme="minorHAnsi"/>
          <w:color w:val="808080" w:themeColor="background1" w:themeShade="80"/>
        </w:rPr>
        <w:tab/>
        <w:t>Service Financial Forecasts</w:t>
      </w:r>
      <w:bookmarkEnd w:id="74"/>
    </w:p>
    <w:p w:rsidR="00D02973" w:rsidRPr="00EA2F26" w:rsidRDefault="00D02973" w:rsidP="00D02973">
      <w:r w:rsidRPr="00EA2F26">
        <w:t>The figures presented below in Table 15 summaris</w:t>
      </w:r>
      <w:r>
        <w:t>e the funding requirements for recreation and open space a</w:t>
      </w:r>
      <w:r w:rsidRPr="00EA2F26">
        <w:t xml:space="preserve">ssets over the next 10 years. </w:t>
      </w:r>
    </w:p>
    <w:p w:rsidR="00D02973" w:rsidRPr="00EA2F26" w:rsidRDefault="00D02973" w:rsidP="00D02973">
      <w:pPr>
        <w:rPr>
          <w:b/>
        </w:rPr>
      </w:pPr>
      <w:r w:rsidRPr="00EA2F26">
        <w:rPr>
          <w:b/>
        </w:rPr>
        <w:t>Table 15: Recreation and Open Space Asset Services Projected Funding Requirements</w:t>
      </w:r>
    </w:p>
    <w:tbl>
      <w:tblPr>
        <w:tblStyle w:val="TableGrid"/>
        <w:tblW w:w="0" w:type="auto"/>
        <w:tblInd w:w="108" w:type="dxa"/>
        <w:tblLook w:val="04A0" w:firstRow="1" w:lastRow="0" w:firstColumn="1" w:lastColumn="0" w:noHBand="0" w:noVBand="1"/>
      </w:tblPr>
      <w:tblGrid>
        <w:gridCol w:w="1276"/>
        <w:gridCol w:w="1985"/>
        <w:gridCol w:w="1701"/>
        <w:gridCol w:w="1984"/>
      </w:tblGrid>
      <w:tr w:rsidR="00D02973" w:rsidRPr="00EA2F26" w:rsidTr="00DF2FAC">
        <w:tc>
          <w:tcPr>
            <w:tcW w:w="1276" w:type="dxa"/>
            <w:vMerge w:val="restart"/>
            <w:shd w:val="clear" w:color="auto" w:fill="000000" w:themeFill="text1"/>
          </w:tcPr>
          <w:p w:rsidR="00D02973" w:rsidRPr="00EA2F26" w:rsidRDefault="00D02973" w:rsidP="00DF2FAC">
            <w:pPr>
              <w:rPr>
                <w:color w:val="FFFFFF" w:themeColor="background1"/>
              </w:rPr>
            </w:pPr>
            <w:r w:rsidRPr="00EA2F26">
              <w:rPr>
                <w:color w:val="FFFFFF" w:themeColor="background1"/>
              </w:rPr>
              <w:t>Year</w:t>
            </w:r>
          </w:p>
        </w:tc>
        <w:tc>
          <w:tcPr>
            <w:tcW w:w="3686" w:type="dxa"/>
            <w:gridSpan w:val="2"/>
            <w:shd w:val="clear" w:color="auto" w:fill="000000" w:themeFill="text1"/>
          </w:tcPr>
          <w:p w:rsidR="00D02973" w:rsidRPr="00EA2F26" w:rsidRDefault="00D02973" w:rsidP="00DF2FAC">
            <w:pPr>
              <w:jc w:val="center"/>
              <w:rPr>
                <w:color w:val="FFFFFF" w:themeColor="background1"/>
              </w:rPr>
            </w:pPr>
            <w:r w:rsidRPr="00EA2F26">
              <w:rPr>
                <w:color w:val="FFFFFF" w:themeColor="background1"/>
              </w:rPr>
              <w:t>Capital Expenditure</w:t>
            </w:r>
          </w:p>
        </w:tc>
        <w:tc>
          <w:tcPr>
            <w:tcW w:w="1984" w:type="dxa"/>
            <w:vMerge w:val="restart"/>
            <w:shd w:val="clear" w:color="auto" w:fill="000000" w:themeFill="text1"/>
          </w:tcPr>
          <w:p w:rsidR="00D02973" w:rsidRPr="00EA2F26" w:rsidRDefault="00D02973" w:rsidP="00DF2FAC">
            <w:pPr>
              <w:rPr>
                <w:color w:val="FFFFFF" w:themeColor="background1"/>
              </w:rPr>
            </w:pPr>
            <w:r w:rsidRPr="00EA2F26">
              <w:rPr>
                <w:color w:val="FFFFFF" w:themeColor="background1"/>
              </w:rPr>
              <w:t>Operations and Maintenance Expenditure</w:t>
            </w:r>
          </w:p>
        </w:tc>
      </w:tr>
      <w:tr w:rsidR="00D02973" w:rsidRPr="00EA2F26" w:rsidTr="00AA1CC4">
        <w:trPr>
          <w:trHeight w:val="664"/>
        </w:trPr>
        <w:tc>
          <w:tcPr>
            <w:tcW w:w="1276" w:type="dxa"/>
            <w:vMerge/>
          </w:tcPr>
          <w:p w:rsidR="00D02973" w:rsidRPr="00EA2F26" w:rsidRDefault="00D02973" w:rsidP="00DF2FAC"/>
        </w:tc>
        <w:tc>
          <w:tcPr>
            <w:tcW w:w="1985" w:type="dxa"/>
            <w:shd w:val="clear" w:color="auto" w:fill="000000" w:themeFill="text1"/>
          </w:tcPr>
          <w:p w:rsidR="00D02973" w:rsidRPr="00EA2F26" w:rsidRDefault="00D02973" w:rsidP="00DF2FAC">
            <w:pPr>
              <w:rPr>
                <w:color w:val="FFFFFF" w:themeColor="background1"/>
              </w:rPr>
            </w:pPr>
            <w:r w:rsidRPr="00EA2F26">
              <w:rPr>
                <w:color w:val="FFFFFF" w:themeColor="background1"/>
              </w:rPr>
              <w:t>Renewals</w:t>
            </w:r>
          </w:p>
        </w:tc>
        <w:tc>
          <w:tcPr>
            <w:tcW w:w="1701" w:type="dxa"/>
            <w:shd w:val="clear" w:color="auto" w:fill="000000" w:themeFill="text1"/>
          </w:tcPr>
          <w:p w:rsidR="00D02973" w:rsidRPr="00EA2F26" w:rsidRDefault="00D02973" w:rsidP="00DF2FAC">
            <w:pPr>
              <w:rPr>
                <w:color w:val="FFFFFF" w:themeColor="background1"/>
              </w:rPr>
            </w:pPr>
            <w:r w:rsidRPr="00EA2F26">
              <w:rPr>
                <w:color w:val="FFFFFF" w:themeColor="background1"/>
              </w:rPr>
              <w:t>New Assets &amp; Upgrades</w:t>
            </w:r>
          </w:p>
        </w:tc>
        <w:tc>
          <w:tcPr>
            <w:tcW w:w="1984" w:type="dxa"/>
            <w:vMerge/>
          </w:tcPr>
          <w:p w:rsidR="00D02973" w:rsidRPr="00EA2F26" w:rsidRDefault="00D02973" w:rsidP="00DF2FAC"/>
        </w:tc>
      </w:tr>
    </w:tbl>
    <w:tbl>
      <w:tblPr>
        <w:tblW w:w="6961" w:type="dxa"/>
        <w:tblInd w:w="93" w:type="dxa"/>
        <w:tblLook w:val="04A0" w:firstRow="1" w:lastRow="0" w:firstColumn="1" w:lastColumn="0" w:noHBand="0" w:noVBand="1"/>
      </w:tblPr>
      <w:tblGrid>
        <w:gridCol w:w="1291"/>
        <w:gridCol w:w="1985"/>
        <w:gridCol w:w="1701"/>
        <w:gridCol w:w="1984"/>
      </w:tblGrid>
      <w:tr w:rsidR="00D02973" w:rsidRPr="00EA2F26" w:rsidTr="00DF2FAC">
        <w:trPr>
          <w:trHeight w:val="288"/>
        </w:trPr>
        <w:tc>
          <w:tcPr>
            <w:tcW w:w="1291" w:type="dxa"/>
            <w:tcBorders>
              <w:top w:val="nil"/>
              <w:left w:val="single" w:sz="4" w:space="0" w:color="auto"/>
              <w:bottom w:val="single" w:sz="4" w:space="0" w:color="auto"/>
              <w:right w:val="single" w:sz="4" w:space="0" w:color="auto"/>
            </w:tcBorders>
            <w:shd w:val="clear" w:color="auto" w:fill="auto"/>
            <w:hideMark/>
          </w:tcPr>
          <w:p w:rsidR="00D02973" w:rsidRPr="00EA2F26" w:rsidRDefault="00D02973" w:rsidP="00DF2FAC">
            <w:pPr>
              <w:rPr>
                <w:lang w:eastAsia="en-AU"/>
              </w:rPr>
            </w:pPr>
            <w:r w:rsidRPr="00EA2F26">
              <w:rPr>
                <w:lang w:eastAsia="en-AU"/>
              </w:rPr>
              <w:t>2015/16</w:t>
            </w:r>
          </w:p>
        </w:tc>
        <w:tc>
          <w:tcPr>
            <w:tcW w:w="1985" w:type="dxa"/>
            <w:tcBorders>
              <w:top w:val="nil"/>
              <w:left w:val="nil"/>
              <w:bottom w:val="single" w:sz="4" w:space="0" w:color="auto"/>
              <w:right w:val="single" w:sz="4" w:space="0" w:color="auto"/>
            </w:tcBorders>
            <w:shd w:val="clear" w:color="auto" w:fill="auto"/>
            <w:noWrap/>
            <w:vAlign w:val="bottom"/>
            <w:hideMark/>
          </w:tcPr>
          <w:p w:rsidR="00D02973" w:rsidRPr="00EA2F26" w:rsidRDefault="00D02973" w:rsidP="00DF2FAC">
            <w:pPr>
              <w:rPr>
                <w:lang w:eastAsia="en-AU"/>
              </w:rPr>
            </w:pPr>
            <w:r w:rsidRPr="00EA2F26">
              <w:rPr>
                <w:lang w:eastAsia="en-AU"/>
              </w:rPr>
              <w:t>$1,721,022</w:t>
            </w:r>
          </w:p>
        </w:tc>
        <w:tc>
          <w:tcPr>
            <w:tcW w:w="1701" w:type="dxa"/>
            <w:tcBorders>
              <w:top w:val="nil"/>
              <w:left w:val="nil"/>
              <w:bottom w:val="single" w:sz="4" w:space="0" w:color="auto"/>
              <w:right w:val="single" w:sz="4" w:space="0" w:color="auto"/>
            </w:tcBorders>
            <w:shd w:val="clear" w:color="auto" w:fill="auto"/>
            <w:noWrap/>
            <w:vAlign w:val="bottom"/>
            <w:hideMark/>
          </w:tcPr>
          <w:p w:rsidR="00D02973" w:rsidRPr="00EA2F26" w:rsidRDefault="00D02973" w:rsidP="00DF2FAC">
            <w:pPr>
              <w:rPr>
                <w:lang w:eastAsia="en-AU"/>
              </w:rPr>
            </w:pPr>
            <w:r w:rsidRPr="00EA2F26">
              <w:rPr>
                <w:lang w:eastAsia="en-AU"/>
              </w:rPr>
              <w:t>$4,620,000</w:t>
            </w:r>
          </w:p>
        </w:tc>
        <w:tc>
          <w:tcPr>
            <w:tcW w:w="1984" w:type="dxa"/>
            <w:tcBorders>
              <w:top w:val="nil"/>
              <w:left w:val="nil"/>
              <w:bottom w:val="single" w:sz="4" w:space="0" w:color="auto"/>
              <w:right w:val="single" w:sz="4" w:space="0" w:color="auto"/>
            </w:tcBorders>
            <w:shd w:val="clear" w:color="auto" w:fill="auto"/>
            <w:noWrap/>
            <w:vAlign w:val="bottom"/>
            <w:hideMark/>
          </w:tcPr>
          <w:p w:rsidR="00D02973" w:rsidRPr="00EA2F26" w:rsidRDefault="00D02973" w:rsidP="00DF2FAC">
            <w:pPr>
              <w:rPr>
                <w:lang w:eastAsia="en-AU"/>
              </w:rPr>
            </w:pPr>
            <w:r w:rsidRPr="00EA2F26">
              <w:rPr>
                <w:lang w:eastAsia="en-AU"/>
              </w:rPr>
              <w:t>$10,693,874</w:t>
            </w:r>
          </w:p>
        </w:tc>
      </w:tr>
      <w:tr w:rsidR="00D02973" w:rsidRPr="00EA2F26" w:rsidTr="00DF2FAC">
        <w:trPr>
          <w:trHeight w:val="288"/>
        </w:trPr>
        <w:tc>
          <w:tcPr>
            <w:tcW w:w="1291" w:type="dxa"/>
            <w:tcBorders>
              <w:top w:val="nil"/>
              <w:left w:val="single" w:sz="4" w:space="0" w:color="auto"/>
              <w:bottom w:val="single" w:sz="4" w:space="0" w:color="auto"/>
              <w:right w:val="single" w:sz="4" w:space="0" w:color="auto"/>
            </w:tcBorders>
            <w:shd w:val="clear" w:color="auto" w:fill="auto"/>
            <w:hideMark/>
          </w:tcPr>
          <w:p w:rsidR="00D02973" w:rsidRPr="00EA2F26" w:rsidRDefault="00D02973" w:rsidP="00DF2FAC">
            <w:pPr>
              <w:rPr>
                <w:lang w:eastAsia="en-AU"/>
              </w:rPr>
            </w:pPr>
            <w:r w:rsidRPr="00EA2F26">
              <w:rPr>
                <w:lang w:eastAsia="en-AU"/>
              </w:rPr>
              <w:t>2016/17</w:t>
            </w:r>
          </w:p>
        </w:tc>
        <w:tc>
          <w:tcPr>
            <w:tcW w:w="1985" w:type="dxa"/>
            <w:tcBorders>
              <w:top w:val="nil"/>
              <w:left w:val="nil"/>
              <w:bottom w:val="single" w:sz="4" w:space="0" w:color="auto"/>
              <w:right w:val="single" w:sz="4" w:space="0" w:color="auto"/>
            </w:tcBorders>
            <w:shd w:val="clear" w:color="auto" w:fill="auto"/>
            <w:noWrap/>
            <w:vAlign w:val="bottom"/>
            <w:hideMark/>
          </w:tcPr>
          <w:p w:rsidR="00D02973" w:rsidRPr="00EA2F26" w:rsidRDefault="00D02973" w:rsidP="00DF2FAC">
            <w:pPr>
              <w:rPr>
                <w:lang w:eastAsia="en-AU"/>
              </w:rPr>
            </w:pPr>
            <w:r w:rsidRPr="00EA2F26">
              <w:rPr>
                <w:lang w:eastAsia="en-AU"/>
              </w:rPr>
              <w:t>$1,775,233</w:t>
            </w:r>
          </w:p>
        </w:tc>
        <w:tc>
          <w:tcPr>
            <w:tcW w:w="1701" w:type="dxa"/>
            <w:tcBorders>
              <w:top w:val="nil"/>
              <w:left w:val="nil"/>
              <w:bottom w:val="single" w:sz="4" w:space="0" w:color="auto"/>
              <w:right w:val="single" w:sz="4" w:space="0" w:color="auto"/>
            </w:tcBorders>
            <w:shd w:val="clear" w:color="auto" w:fill="auto"/>
            <w:noWrap/>
            <w:vAlign w:val="bottom"/>
            <w:hideMark/>
          </w:tcPr>
          <w:p w:rsidR="00D02973" w:rsidRPr="00EA2F26" w:rsidRDefault="00D02973" w:rsidP="00DF2FAC">
            <w:pPr>
              <w:rPr>
                <w:lang w:eastAsia="en-AU"/>
              </w:rPr>
            </w:pPr>
            <w:r w:rsidRPr="00EA2F26">
              <w:rPr>
                <w:lang w:eastAsia="en-AU"/>
              </w:rPr>
              <w:t>$3,853,000</w:t>
            </w:r>
          </w:p>
        </w:tc>
        <w:tc>
          <w:tcPr>
            <w:tcW w:w="1984" w:type="dxa"/>
            <w:tcBorders>
              <w:top w:val="nil"/>
              <w:left w:val="nil"/>
              <w:bottom w:val="single" w:sz="4" w:space="0" w:color="auto"/>
              <w:right w:val="single" w:sz="4" w:space="0" w:color="auto"/>
            </w:tcBorders>
            <w:shd w:val="clear" w:color="auto" w:fill="auto"/>
            <w:noWrap/>
            <w:vAlign w:val="bottom"/>
            <w:hideMark/>
          </w:tcPr>
          <w:p w:rsidR="00D02973" w:rsidRPr="00EA2F26" w:rsidRDefault="00D02973" w:rsidP="00DF2FAC">
            <w:pPr>
              <w:rPr>
                <w:lang w:eastAsia="en-AU"/>
              </w:rPr>
            </w:pPr>
            <w:r w:rsidRPr="00EA2F26">
              <w:rPr>
                <w:lang w:eastAsia="en-AU"/>
              </w:rPr>
              <w:t>$11,014,690</w:t>
            </w:r>
          </w:p>
        </w:tc>
      </w:tr>
      <w:tr w:rsidR="00D02973" w:rsidRPr="00EA2F26" w:rsidTr="00DF2FAC">
        <w:trPr>
          <w:trHeight w:val="288"/>
        </w:trPr>
        <w:tc>
          <w:tcPr>
            <w:tcW w:w="1291" w:type="dxa"/>
            <w:tcBorders>
              <w:top w:val="nil"/>
              <w:left w:val="single" w:sz="4" w:space="0" w:color="auto"/>
              <w:bottom w:val="single" w:sz="4" w:space="0" w:color="auto"/>
              <w:right w:val="single" w:sz="4" w:space="0" w:color="auto"/>
            </w:tcBorders>
            <w:shd w:val="clear" w:color="auto" w:fill="auto"/>
            <w:hideMark/>
          </w:tcPr>
          <w:p w:rsidR="00D02973" w:rsidRPr="00EA2F26" w:rsidRDefault="00D02973" w:rsidP="00DF2FAC">
            <w:pPr>
              <w:rPr>
                <w:lang w:eastAsia="en-AU"/>
              </w:rPr>
            </w:pPr>
            <w:r w:rsidRPr="00EA2F26">
              <w:rPr>
                <w:lang w:eastAsia="en-AU"/>
              </w:rPr>
              <w:t>2017/18</w:t>
            </w:r>
          </w:p>
        </w:tc>
        <w:tc>
          <w:tcPr>
            <w:tcW w:w="1985" w:type="dxa"/>
            <w:tcBorders>
              <w:top w:val="nil"/>
              <w:left w:val="nil"/>
              <w:bottom w:val="single" w:sz="4" w:space="0" w:color="auto"/>
              <w:right w:val="single" w:sz="4" w:space="0" w:color="auto"/>
            </w:tcBorders>
            <w:shd w:val="clear" w:color="auto" w:fill="auto"/>
            <w:noWrap/>
            <w:vAlign w:val="bottom"/>
            <w:hideMark/>
          </w:tcPr>
          <w:p w:rsidR="00D02973" w:rsidRPr="00EA2F26" w:rsidRDefault="00D02973" w:rsidP="00DF2FAC">
            <w:pPr>
              <w:rPr>
                <w:lang w:eastAsia="en-AU"/>
              </w:rPr>
            </w:pPr>
            <w:r w:rsidRPr="00EA2F26">
              <w:rPr>
                <w:lang w:eastAsia="en-AU"/>
              </w:rPr>
              <w:t>$2,129,922</w:t>
            </w:r>
          </w:p>
        </w:tc>
        <w:tc>
          <w:tcPr>
            <w:tcW w:w="1701" w:type="dxa"/>
            <w:tcBorders>
              <w:top w:val="nil"/>
              <w:left w:val="nil"/>
              <w:bottom w:val="single" w:sz="4" w:space="0" w:color="auto"/>
              <w:right w:val="single" w:sz="4" w:space="0" w:color="auto"/>
            </w:tcBorders>
            <w:shd w:val="clear" w:color="auto" w:fill="auto"/>
            <w:noWrap/>
            <w:vAlign w:val="bottom"/>
            <w:hideMark/>
          </w:tcPr>
          <w:p w:rsidR="00D02973" w:rsidRPr="00EA2F26" w:rsidRDefault="00D02973" w:rsidP="00DF2FAC">
            <w:pPr>
              <w:rPr>
                <w:lang w:eastAsia="en-AU"/>
              </w:rPr>
            </w:pPr>
            <w:r w:rsidRPr="00EA2F26">
              <w:rPr>
                <w:lang w:eastAsia="en-AU"/>
              </w:rPr>
              <w:t>$3,958,000</w:t>
            </w:r>
          </w:p>
        </w:tc>
        <w:tc>
          <w:tcPr>
            <w:tcW w:w="1984" w:type="dxa"/>
            <w:tcBorders>
              <w:top w:val="nil"/>
              <w:left w:val="nil"/>
              <w:bottom w:val="single" w:sz="4" w:space="0" w:color="auto"/>
              <w:right w:val="single" w:sz="4" w:space="0" w:color="auto"/>
            </w:tcBorders>
            <w:shd w:val="clear" w:color="auto" w:fill="auto"/>
            <w:noWrap/>
            <w:vAlign w:val="bottom"/>
            <w:hideMark/>
          </w:tcPr>
          <w:p w:rsidR="00D02973" w:rsidRPr="00EA2F26" w:rsidRDefault="00D02973" w:rsidP="00DF2FAC">
            <w:pPr>
              <w:rPr>
                <w:lang w:eastAsia="en-AU"/>
              </w:rPr>
            </w:pPr>
            <w:r w:rsidRPr="00EA2F26">
              <w:rPr>
                <w:lang w:eastAsia="en-AU"/>
              </w:rPr>
              <w:t>$11,345,131</w:t>
            </w:r>
          </w:p>
        </w:tc>
      </w:tr>
      <w:tr w:rsidR="00D02973" w:rsidRPr="00EA2F26" w:rsidTr="00DF2FAC">
        <w:trPr>
          <w:trHeight w:val="288"/>
        </w:trPr>
        <w:tc>
          <w:tcPr>
            <w:tcW w:w="1291" w:type="dxa"/>
            <w:tcBorders>
              <w:top w:val="nil"/>
              <w:left w:val="single" w:sz="4" w:space="0" w:color="auto"/>
              <w:bottom w:val="single" w:sz="4" w:space="0" w:color="auto"/>
              <w:right w:val="single" w:sz="4" w:space="0" w:color="auto"/>
            </w:tcBorders>
            <w:shd w:val="clear" w:color="auto" w:fill="auto"/>
            <w:hideMark/>
          </w:tcPr>
          <w:p w:rsidR="00D02973" w:rsidRPr="00EA2F26" w:rsidRDefault="00D02973" w:rsidP="00DF2FAC">
            <w:pPr>
              <w:rPr>
                <w:lang w:eastAsia="en-AU"/>
              </w:rPr>
            </w:pPr>
            <w:r w:rsidRPr="00EA2F26">
              <w:rPr>
                <w:lang w:eastAsia="en-AU"/>
              </w:rPr>
              <w:t>2018/19</w:t>
            </w:r>
          </w:p>
        </w:tc>
        <w:tc>
          <w:tcPr>
            <w:tcW w:w="1985" w:type="dxa"/>
            <w:tcBorders>
              <w:top w:val="nil"/>
              <w:left w:val="nil"/>
              <w:bottom w:val="single" w:sz="4" w:space="0" w:color="auto"/>
              <w:right w:val="single" w:sz="4" w:space="0" w:color="auto"/>
            </w:tcBorders>
            <w:shd w:val="clear" w:color="auto" w:fill="auto"/>
            <w:noWrap/>
            <w:vAlign w:val="bottom"/>
            <w:hideMark/>
          </w:tcPr>
          <w:p w:rsidR="00D02973" w:rsidRPr="00EA2F26" w:rsidRDefault="00D02973" w:rsidP="00DF2FAC">
            <w:pPr>
              <w:rPr>
                <w:lang w:eastAsia="en-AU"/>
              </w:rPr>
            </w:pPr>
            <w:r w:rsidRPr="00EA2F26">
              <w:rPr>
                <w:lang w:eastAsia="en-AU"/>
              </w:rPr>
              <w:t>$2,376,248</w:t>
            </w:r>
          </w:p>
        </w:tc>
        <w:tc>
          <w:tcPr>
            <w:tcW w:w="1701" w:type="dxa"/>
            <w:tcBorders>
              <w:top w:val="nil"/>
              <w:left w:val="nil"/>
              <w:bottom w:val="single" w:sz="4" w:space="0" w:color="auto"/>
              <w:right w:val="single" w:sz="4" w:space="0" w:color="auto"/>
            </w:tcBorders>
            <w:shd w:val="clear" w:color="auto" w:fill="auto"/>
            <w:noWrap/>
            <w:vAlign w:val="bottom"/>
            <w:hideMark/>
          </w:tcPr>
          <w:p w:rsidR="00D02973" w:rsidRPr="00EA2F26" w:rsidRDefault="00D02973" w:rsidP="00DF2FAC">
            <w:pPr>
              <w:rPr>
                <w:lang w:eastAsia="en-AU"/>
              </w:rPr>
            </w:pPr>
            <w:r w:rsidRPr="00EA2F26">
              <w:rPr>
                <w:lang w:eastAsia="en-AU"/>
              </w:rPr>
              <w:t>$3,427,000</w:t>
            </w:r>
          </w:p>
        </w:tc>
        <w:tc>
          <w:tcPr>
            <w:tcW w:w="1984" w:type="dxa"/>
            <w:tcBorders>
              <w:top w:val="nil"/>
              <w:left w:val="nil"/>
              <w:bottom w:val="single" w:sz="4" w:space="0" w:color="auto"/>
              <w:right w:val="single" w:sz="4" w:space="0" w:color="auto"/>
            </w:tcBorders>
            <w:shd w:val="clear" w:color="auto" w:fill="auto"/>
            <w:noWrap/>
            <w:vAlign w:val="bottom"/>
            <w:hideMark/>
          </w:tcPr>
          <w:p w:rsidR="00D02973" w:rsidRPr="00EA2F26" w:rsidRDefault="00D02973" w:rsidP="00DF2FAC">
            <w:pPr>
              <w:rPr>
                <w:lang w:eastAsia="en-AU"/>
              </w:rPr>
            </w:pPr>
            <w:r w:rsidRPr="00EA2F26">
              <w:rPr>
                <w:lang w:eastAsia="en-AU"/>
              </w:rPr>
              <w:t>$11,685,485</w:t>
            </w:r>
          </w:p>
        </w:tc>
      </w:tr>
      <w:tr w:rsidR="00D02973" w:rsidRPr="00EA2F26" w:rsidTr="00DF2FAC">
        <w:trPr>
          <w:trHeight w:val="288"/>
        </w:trPr>
        <w:tc>
          <w:tcPr>
            <w:tcW w:w="1291" w:type="dxa"/>
            <w:tcBorders>
              <w:top w:val="nil"/>
              <w:left w:val="single" w:sz="4" w:space="0" w:color="auto"/>
              <w:bottom w:val="single" w:sz="4" w:space="0" w:color="auto"/>
              <w:right w:val="single" w:sz="4" w:space="0" w:color="auto"/>
            </w:tcBorders>
            <w:shd w:val="clear" w:color="auto" w:fill="auto"/>
            <w:hideMark/>
          </w:tcPr>
          <w:p w:rsidR="00D02973" w:rsidRPr="00EA2F26" w:rsidRDefault="00D02973" w:rsidP="00DF2FAC">
            <w:pPr>
              <w:rPr>
                <w:lang w:eastAsia="en-AU"/>
              </w:rPr>
            </w:pPr>
            <w:r w:rsidRPr="00EA2F26">
              <w:rPr>
                <w:lang w:eastAsia="en-AU"/>
              </w:rPr>
              <w:t>2019/20</w:t>
            </w:r>
          </w:p>
        </w:tc>
        <w:tc>
          <w:tcPr>
            <w:tcW w:w="1985" w:type="dxa"/>
            <w:tcBorders>
              <w:top w:val="nil"/>
              <w:left w:val="nil"/>
              <w:bottom w:val="single" w:sz="4" w:space="0" w:color="auto"/>
              <w:right w:val="single" w:sz="4" w:space="0" w:color="auto"/>
            </w:tcBorders>
            <w:shd w:val="clear" w:color="auto" w:fill="auto"/>
            <w:noWrap/>
            <w:vAlign w:val="bottom"/>
            <w:hideMark/>
          </w:tcPr>
          <w:p w:rsidR="00D02973" w:rsidRPr="00EA2F26" w:rsidRDefault="00D02973" w:rsidP="00DF2FAC">
            <w:pPr>
              <w:rPr>
                <w:lang w:eastAsia="en-AU"/>
              </w:rPr>
            </w:pPr>
            <w:r w:rsidRPr="00EA2F26">
              <w:rPr>
                <w:lang w:eastAsia="en-AU"/>
              </w:rPr>
              <w:t>$2,538,859</w:t>
            </w:r>
          </w:p>
        </w:tc>
        <w:tc>
          <w:tcPr>
            <w:tcW w:w="1701" w:type="dxa"/>
            <w:tcBorders>
              <w:top w:val="nil"/>
              <w:left w:val="nil"/>
              <w:bottom w:val="single" w:sz="4" w:space="0" w:color="auto"/>
              <w:right w:val="single" w:sz="4" w:space="0" w:color="auto"/>
            </w:tcBorders>
            <w:shd w:val="clear" w:color="auto" w:fill="auto"/>
            <w:noWrap/>
            <w:vAlign w:val="bottom"/>
            <w:hideMark/>
          </w:tcPr>
          <w:p w:rsidR="00D02973" w:rsidRPr="00EA2F26" w:rsidRDefault="00D02973" w:rsidP="00DF2FAC">
            <w:pPr>
              <w:rPr>
                <w:lang w:eastAsia="en-AU"/>
              </w:rPr>
            </w:pPr>
            <w:r w:rsidRPr="00EA2F26">
              <w:rPr>
                <w:lang w:eastAsia="en-AU"/>
              </w:rPr>
              <w:t>$7,780,000</w:t>
            </w:r>
          </w:p>
        </w:tc>
        <w:tc>
          <w:tcPr>
            <w:tcW w:w="1984" w:type="dxa"/>
            <w:tcBorders>
              <w:top w:val="nil"/>
              <w:left w:val="nil"/>
              <w:bottom w:val="single" w:sz="4" w:space="0" w:color="auto"/>
              <w:right w:val="single" w:sz="4" w:space="0" w:color="auto"/>
            </w:tcBorders>
            <w:shd w:val="clear" w:color="auto" w:fill="auto"/>
            <w:noWrap/>
            <w:vAlign w:val="bottom"/>
            <w:hideMark/>
          </w:tcPr>
          <w:p w:rsidR="00D02973" w:rsidRPr="00EA2F26" w:rsidRDefault="00D02973" w:rsidP="00DF2FAC">
            <w:pPr>
              <w:rPr>
                <w:lang w:eastAsia="en-AU"/>
              </w:rPr>
            </w:pPr>
            <w:r w:rsidRPr="00EA2F26">
              <w:rPr>
                <w:lang w:eastAsia="en-AU"/>
              </w:rPr>
              <w:t>$12,036,049</w:t>
            </w:r>
          </w:p>
        </w:tc>
      </w:tr>
      <w:tr w:rsidR="00D02973" w:rsidRPr="00EA2F26" w:rsidTr="00DF2FAC">
        <w:trPr>
          <w:trHeight w:val="288"/>
        </w:trPr>
        <w:tc>
          <w:tcPr>
            <w:tcW w:w="1291" w:type="dxa"/>
            <w:tcBorders>
              <w:top w:val="nil"/>
              <w:left w:val="single" w:sz="4" w:space="0" w:color="auto"/>
              <w:bottom w:val="single" w:sz="4" w:space="0" w:color="auto"/>
              <w:right w:val="single" w:sz="4" w:space="0" w:color="auto"/>
            </w:tcBorders>
            <w:shd w:val="clear" w:color="auto" w:fill="auto"/>
            <w:hideMark/>
          </w:tcPr>
          <w:p w:rsidR="00D02973" w:rsidRPr="00EA2F26" w:rsidRDefault="00D02973" w:rsidP="00DF2FAC">
            <w:pPr>
              <w:rPr>
                <w:lang w:eastAsia="en-AU"/>
              </w:rPr>
            </w:pPr>
            <w:r w:rsidRPr="00EA2F26">
              <w:rPr>
                <w:lang w:eastAsia="en-AU"/>
              </w:rPr>
              <w:t>2020/21</w:t>
            </w:r>
          </w:p>
        </w:tc>
        <w:tc>
          <w:tcPr>
            <w:tcW w:w="1985" w:type="dxa"/>
            <w:tcBorders>
              <w:top w:val="nil"/>
              <w:left w:val="nil"/>
              <w:bottom w:val="single" w:sz="4" w:space="0" w:color="auto"/>
              <w:right w:val="single" w:sz="4" w:space="0" w:color="auto"/>
            </w:tcBorders>
            <w:shd w:val="clear" w:color="auto" w:fill="auto"/>
            <w:noWrap/>
            <w:vAlign w:val="bottom"/>
            <w:hideMark/>
          </w:tcPr>
          <w:p w:rsidR="00D02973" w:rsidRPr="00EA2F26" w:rsidRDefault="00D02973" w:rsidP="00DF2FAC">
            <w:pPr>
              <w:rPr>
                <w:lang w:eastAsia="en-AU"/>
              </w:rPr>
            </w:pPr>
            <w:r w:rsidRPr="00EA2F26">
              <w:rPr>
                <w:lang w:eastAsia="en-AU"/>
              </w:rPr>
              <w:t>$2,576,575</w:t>
            </w:r>
          </w:p>
        </w:tc>
        <w:tc>
          <w:tcPr>
            <w:tcW w:w="1701" w:type="dxa"/>
            <w:tcBorders>
              <w:top w:val="nil"/>
              <w:left w:val="nil"/>
              <w:bottom w:val="single" w:sz="4" w:space="0" w:color="auto"/>
              <w:right w:val="single" w:sz="4" w:space="0" w:color="auto"/>
            </w:tcBorders>
            <w:shd w:val="clear" w:color="auto" w:fill="auto"/>
            <w:noWrap/>
            <w:vAlign w:val="bottom"/>
            <w:hideMark/>
          </w:tcPr>
          <w:p w:rsidR="00D02973" w:rsidRPr="00EA2F26" w:rsidRDefault="00D02973" w:rsidP="00DF2FAC">
            <w:pPr>
              <w:rPr>
                <w:lang w:eastAsia="en-AU"/>
              </w:rPr>
            </w:pPr>
            <w:r w:rsidRPr="00EA2F26">
              <w:rPr>
                <w:lang w:eastAsia="en-AU"/>
              </w:rPr>
              <w:t>$3,279,000</w:t>
            </w:r>
          </w:p>
        </w:tc>
        <w:tc>
          <w:tcPr>
            <w:tcW w:w="1984" w:type="dxa"/>
            <w:tcBorders>
              <w:top w:val="nil"/>
              <w:left w:val="nil"/>
              <w:bottom w:val="single" w:sz="4" w:space="0" w:color="auto"/>
              <w:right w:val="single" w:sz="4" w:space="0" w:color="auto"/>
            </w:tcBorders>
            <w:shd w:val="clear" w:color="auto" w:fill="auto"/>
            <w:noWrap/>
            <w:vAlign w:val="bottom"/>
            <w:hideMark/>
          </w:tcPr>
          <w:p w:rsidR="00D02973" w:rsidRPr="00EA2F26" w:rsidRDefault="00D02973" w:rsidP="00DF2FAC">
            <w:pPr>
              <w:rPr>
                <w:lang w:eastAsia="en-AU"/>
              </w:rPr>
            </w:pPr>
            <w:r w:rsidRPr="00EA2F26">
              <w:rPr>
                <w:lang w:eastAsia="en-AU"/>
              </w:rPr>
              <w:t>$12,397,131</w:t>
            </w:r>
          </w:p>
        </w:tc>
      </w:tr>
      <w:tr w:rsidR="00D02973" w:rsidRPr="00EA2F26" w:rsidTr="00DF2FAC">
        <w:trPr>
          <w:trHeight w:val="288"/>
        </w:trPr>
        <w:tc>
          <w:tcPr>
            <w:tcW w:w="1291" w:type="dxa"/>
            <w:tcBorders>
              <w:top w:val="nil"/>
              <w:left w:val="single" w:sz="4" w:space="0" w:color="auto"/>
              <w:bottom w:val="single" w:sz="4" w:space="0" w:color="auto"/>
              <w:right w:val="single" w:sz="4" w:space="0" w:color="auto"/>
            </w:tcBorders>
            <w:shd w:val="clear" w:color="auto" w:fill="auto"/>
            <w:hideMark/>
          </w:tcPr>
          <w:p w:rsidR="00D02973" w:rsidRPr="00EA2F26" w:rsidRDefault="00D02973" w:rsidP="00DF2FAC">
            <w:pPr>
              <w:rPr>
                <w:lang w:eastAsia="en-AU"/>
              </w:rPr>
            </w:pPr>
            <w:r w:rsidRPr="00EA2F26">
              <w:rPr>
                <w:lang w:eastAsia="en-AU"/>
              </w:rPr>
              <w:t>2021/22</w:t>
            </w:r>
          </w:p>
        </w:tc>
        <w:tc>
          <w:tcPr>
            <w:tcW w:w="1985" w:type="dxa"/>
            <w:tcBorders>
              <w:top w:val="nil"/>
              <w:left w:val="nil"/>
              <w:bottom w:val="single" w:sz="4" w:space="0" w:color="auto"/>
              <w:right w:val="single" w:sz="4" w:space="0" w:color="auto"/>
            </w:tcBorders>
            <w:shd w:val="clear" w:color="auto" w:fill="auto"/>
            <w:noWrap/>
            <w:vAlign w:val="bottom"/>
            <w:hideMark/>
          </w:tcPr>
          <w:p w:rsidR="00D02973" w:rsidRPr="00EA2F26" w:rsidRDefault="00D02973" w:rsidP="00DF2FAC">
            <w:pPr>
              <w:rPr>
                <w:lang w:eastAsia="en-AU"/>
              </w:rPr>
            </w:pPr>
            <w:r w:rsidRPr="00EA2F26">
              <w:rPr>
                <w:lang w:eastAsia="en-AU"/>
              </w:rPr>
              <w:t>$2,568,265</w:t>
            </w:r>
          </w:p>
        </w:tc>
        <w:tc>
          <w:tcPr>
            <w:tcW w:w="1701" w:type="dxa"/>
            <w:tcBorders>
              <w:top w:val="nil"/>
              <w:left w:val="nil"/>
              <w:bottom w:val="single" w:sz="4" w:space="0" w:color="auto"/>
              <w:right w:val="single" w:sz="4" w:space="0" w:color="auto"/>
            </w:tcBorders>
            <w:shd w:val="clear" w:color="auto" w:fill="auto"/>
            <w:noWrap/>
            <w:vAlign w:val="bottom"/>
            <w:hideMark/>
          </w:tcPr>
          <w:p w:rsidR="00D02973" w:rsidRPr="00EA2F26" w:rsidRDefault="00D02973" w:rsidP="00DF2FAC">
            <w:pPr>
              <w:rPr>
                <w:lang w:eastAsia="en-AU"/>
              </w:rPr>
            </w:pPr>
            <w:r w:rsidRPr="00EA2F26">
              <w:rPr>
                <w:lang w:eastAsia="en-AU"/>
              </w:rPr>
              <w:t>$3,789,000</w:t>
            </w:r>
          </w:p>
        </w:tc>
        <w:tc>
          <w:tcPr>
            <w:tcW w:w="1984" w:type="dxa"/>
            <w:tcBorders>
              <w:top w:val="nil"/>
              <w:left w:val="nil"/>
              <w:bottom w:val="single" w:sz="4" w:space="0" w:color="auto"/>
              <w:right w:val="single" w:sz="4" w:space="0" w:color="auto"/>
            </w:tcBorders>
            <w:shd w:val="clear" w:color="auto" w:fill="auto"/>
            <w:noWrap/>
            <w:vAlign w:val="bottom"/>
            <w:hideMark/>
          </w:tcPr>
          <w:p w:rsidR="00D02973" w:rsidRPr="00EA2F26" w:rsidRDefault="00D02973" w:rsidP="00DF2FAC">
            <w:pPr>
              <w:rPr>
                <w:lang w:eastAsia="en-AU"/>
              </w:rPr>
            </w:pPr>
            <w:r w:rsidRPr="00EA2F26">
              <w:rPr>
                <w:lang w:eastAsia="en-AU"/>
              </w:rPr>
              <w:t>$12,769,045</w:t>
            </w:r>
          </w:p>
        </w:tc>
      </w:tr>
      <w:tr w:rsidR="00D02973" w:rsidRPr="00EA2F26" w:rsidTr="00DF2FAC">
        <w:trPr>
          <w:trHeight w:val="288"/>
        </w:trPr>
        <w:tc>
          <w:tcPr>
            <w:tcW w:w="1291" w:type="dxa"/>
            <w:tcBorders>
              <w:top w:val="nil"/>
              <w:left w:val="single" w:sz="4" w:space="0" w:color="auto"/>
              <w:bottom w:val="single" w:sz="4" w:space="0" w:color="auto"/>
              <w:right w:val="single" w:sz="4" w:space="0" w:color="auto"/>
            </w:tcBorders>
            <w:shd w:val="clear" w:color="auto" w:fill="auto"/>
            <w:hideMark/>
          </w:tcPr>
          <w:p w:rsidR="00D02973" w:rsidRPr="00EA2F26" w:rsidRDefault="00D02973" w:rsidP="00DF2FAC">
            <w:pPr>
              <w:rPr>
                <w:lang w:eastAsia="en-AU"/>
              </w:rPr>
            </w:pPr>
            <w:r w:rsidRPr="00EA2F26">
              <w:rPr>
                <w:lang w:eastAsia="en-AU"/>
              </w:rPr>
              <w:t>2022/23</w:t>
            </w:r>
          </w:p>
        </w:tc>
        <w:tc>
          <w:tcPr>
            <w:tcW w:w="1985" w:type="dxa"/>
            <w:tcBorders>
              <w:top w:val="nil"/>
              <w:left w:val="nil"/>
              <w:bottom w:val="single" w:sz="4" w:space="0" w:color="auto"/>
              <w:right w:val="single" w:sz="4" w:space="0" w:color="auto"/>
            </w:tcBorders>
            <w:shd w:val="clear" w:color="auto" w:fill="auto"/>
            <w:noWrap/>
            <w:vAlign w:val="bottom"/>
            <w:hideMark/>
          </w:tcPr>
          <w:p w:rsidR="00D02973" w:rsidRPr="00EA2F26" w:rsidRDefault="00D02973" w:rsidP="00DF2FAC">
            <w:pPr>
              <w:rPr>
                <w:lang w:eastAsia="en-AU"/>
              </w:rPr>
            </w:pPr>
            <w:r w:rsidRPr="00EA2F26">
              <w:rPr>
                <w:lang w:eastAsia="en-AU"/>
              </w:rPr>
              <w:t>$2,488,192</w:t>
            </w:r>
          </w:p>
        </w:tc>
        <w:tc>
          <w:tcPr>
            <w:tcW w:w="1701" w:type="dxa"/>
            <w:tcBorders>
              <w:top w:val="nil"/>
              <w:left w:val="nil"/>
              <w:bottom w:val="single" w:sz="4" w:space="0" w:color="auto"/>
              <w:right w:val="single" w:sz="4" w:space="0" w:color="auto"/>
            </w:tcBorders>
            <w:shd w:val="clear" w:color="auto" w:fill="auto"/>
            <w:noWrap/>
            <w:vAlign w:val="bottom"/>
            <w:hideMark/>
          </w:tcPr>
          <w:p w:rsidR="00D02973" w:rsidRPr="00EA2F26" w:rsidRDefault="00D02973" w:rsidP="00DF2FAC">
            <w:pPr>
              <w:rPr>
                <w:lang w:eastAsia="en-AU"/>
              </w:rPr>
            </w:pPr>
            <w:r w:rsidRPr="00EA2F26">
              <w:rPr>
                <w:lang w:eastAsia="en-AU"/>
              </w:rPr>
              <w:t>$4,928,000</w:t>
            </w:r>
          </w:p>
        </w:tc>
        <w:tc>
          <w:tcPr>
            <w:tcW w:w="1984" w:type="dxa"/>
            <w:tcBorders>
              <w:top w:val="nil"/>
              <w:left w:val="nil"/>
              <w:bottom w:val="single" w:sz="4" w:space="0" w:color="auto"/>
              <w:right w:val="single" w:sz="4" w:space="0" w:color="auto"/>
            </w:tcBorders>
            <w:shd w:val="clear" w:color="auto" w:fill="auto"/>
            <w:noWrap/>
            <w:vAlign w:val="bottom"/>
            <w:hideMark/>
          </w:tcPr>
          <w:p w:rsidR="00D02973" w:rsidRPr="00EA2F26" w:rsidRDefault="00D02973" w:rsidP="00DF2FAC">
            <w:pPr>
              <w:rPr>
                <w:lang w:eastAsia="en-AU"/>
              </w:rPr>
            </w:pPr>
            <w:r w:rsidRPr="00EA2F26">
              <w:rPr>
                <w:lang w:eastAsia="en-AU"/>
              </w:rPr>
              <w:t>$13,152,116</w:t>
            </w:r>
          </w:p>
        </w:tc>
      </w:tr>
      <w:tr w:rsidR="00D02973" w:rsidRPr="00EA2F26" w:rsidTr="00DF2FAC">
        <w:trPr>
          <w:trHeight w:val="288"/>
        </w:trPr>
        <w:tc>
          <w:tcPr>
            <w:tcW w:w="1291" w:type="dxa"/>
            <w:tcBorders>
              <w:top w:val="nil"/>
              <w:left w:val="single" w:sz="4" w:space="0" w:color="auto"/>
              <w:bottom w:val="single" w:sz="4" w:space="0" w:color="auto"/>
              <w:right w:val="single" w:sz="4" w:space="0" w:color="auto"/>
            </w:tcBorders>
            <w:shd w:val="clear" w:color="auto" w:fill="auto"/>
            <w:hideMark/>
          </w:tcPr>
          <w:p w:rsidR="00D02973" w:rsidRPr="00EA2F26" w:rsidRDefault="00D02973" w:rsidP="00DF2FAC">
            <w:pPr>
              <w:rPr>
                <w:lang w:eastAsia="en-AU"/>
              </w:rPr>
            </w:pPr>
            <w:r w:rsidRPr="00EA2F26">
              <w:rPr>
                <w:lang w:eastAsia="en-AU"/>
              </w:rPr>
              <w:t>2023/24</w:t>
            </w:r>
          </w:p>
        </w:tc>
        <w:tc>
          <w:tcPr>
            <w:tcW w:w="1985" w:type="dxa"/>
            <w:tcBorders>
              <w:top w:val="nil"/>
              <w:left w:val="nil"/>
              <w:bottom w:val="single" w:sz="4" w:space="0" w:color="auto"/>
              <w:right w:val="single" w:sz="4" w:space="0" w:color="auto"/>
            </w:tcBorders>
            <w:shd w:val="clear" w:color="auto" w:fill="auto"/>
            <w:noWrap/>
            <w:vAlign w:val="bottom"/>
            <w:hideMark/>
          </w:tcPr>
          <w:p w:rsidR="00D02973" w:rsidRPr="00EA2F26" w:rsidRDefault="00D02973" w:rsidP="00DF2FAC">
            <w:pPr>
              <w:rPr>
                <w:lang w:eastAsia="en-AU"/>
              </w:rPr>
            </w:pPr>
            <w:r w:rsidRPr="00EA2F26">
              <w:rPr>
                <w:lang w:eastAsia="en-AU"/>
              </w:rPr>
              <w:t>$2,364,553</w:t>
            </w:r>
          </w:p>
        </w:tc>
        <w:tc>
          <w:tcPr>
            <w:tcW w:w="1701" w:type="dxa"/>
            <w:tcBorders>
              <w:top w:val="nil"/>
              <w:left w:val="nil"/>
              <w:bottom w:val="single" w:sz="4" w:space="0" w:color="auto"/>
              <w:right w:val="single" w:sz="4" w:space="0" w:color="auto"/>
            </w:tcBorders>
            <w:shd w:val="clear" w:color="auto" w:fill="auto"/>
            <w:noWrap/>
            <w:vAlign w:val="bottom"/>
            <w:hideMark/>
          </w:tcPr>
          <w:p w:rsidR="00D02973" w:rsidRPr="00EA2F26" w:rsidRDefault="00D02973" w:rsidP="00DF2FAC">
            <w:pPr>
              <w:rPr>
                <w:lang w:eastAsia="en-AU"/>
              </w:rPr>
            </w:pPr>
            <w:r w:rsidRPr="00EA2F26">
              <w:rPr>
                <w:lang w:eastAsia="en-AU"/>
              </w:rPr>
              <w:t>$5,125,000</w:t>
            </w:r>
          </w:p>
        </w:tc>
        <w:tc>
          <w:tcPr>
            <w:tcW w:w="1984" w:type="dxa"/>
            <w:tcBorders>
              <w:top w:val="nil"/>
              <w:left w:val="nil"/>
              <w:bottom w:val="single" w:sz="4" w:space="0" w:color="auto"/>
              <w:right w:val="single" w:sz="4" w:space="0" w:color="auto"/>
            </w:tcBorders>
            <w:shd w:val="clear" w:color="auto" w:fill="auto"/>
            <w:noWrap/>
            <w:vAlign w:val="bottom"/>
            <w:hideMark/>
          </w:tcPr>
          <w:p w:rsidR="00D02973" w:rsidRPr="00EA2F26" w:rsidRDefault="00D02973" w:rsidP="00DF2FAC">
            <w:pPr>
              <w:rPr>
                <w:lang w:eastAsia="en-AU"/>
              </w:rPr>
            </w:pPr>
            <w:r w:rsidRPr="00EA2F26">
              <w:rPr>
                <w:lang w:eastAsia="en-AU"/>
              </w:rPr>
              <w:t>$13,546,680</w:t>
            </w:r>
          </w:p>
        </w:tc>
      </w:tr>
      <w:tr w:rsidR="00D02973" w:rsidRPr="00EA2F26" w:rsidTr="00DF2FAC">
        <w:trPr>
          <w:trHeight w:val="288"/>
        </w:trPr>
        <w:tc>
          <w:tcPr>
            <w:tcW w:w="1291" w:type="dxa"/>
            <w:tcBorders>
              <w:top w:val="nil"/>
              <w:left w:val="single" w:sz="4" w:space="0" w:color="auto"/>
              <w:bottom w:val="single" w:sz="4" w:space="0" w:color="auto"/>
              <w:right w:val="single" w:sz="4" w:space="0" w:color="auto"/>
            </w:tcBorders>
            <w:shd w:val="clear" w:color="auto" w:fill="auto"/>
            <w:hideMark/>
          </w:tcPr>
          <w:p w:rsidR="00D02973" w:rsidRPr="00EA2F26" w:rsidRDefault="00D02973" w:rsidP="00DF2FAC">
            <w:pPr>
              <w:rPr>
                <w:lang w:eastAsia="en-AU"/>
              </w:rPr>
            </w:pPr>
            <w:r w:rsidRPr="00EA2F26">
              <w:rPr>
                <w:lang w:eastAsia="en-AU"/>
              </w:rPr>
              <w:t>2024/25</w:t>
            </w:r>
          </w:p>
        </w:tc>
        <w:tc>
          <w:tcPr>
            <w:tcW w:w="1985" w:type="dxa"/>
            <w:tcBorders>
              <w:top w:val="nil"/>
              <w:left w:val="nil"/>
              <w:bottom w:val="single" w:sz="4" w:space="0" w:color="auto"/>
              <w:right w:val="single" w:sz="4" w:space="0" w:color="auto"/>
            </w:tcBorders>
            <w:shd w:val="clear" w:color="auto" w:fill="auto"/>
            <w:noWrap/>
            <w:vAlign w:val="bottom"/>
            <w:hideMark/>
          </w:tcPr>
          <w:p w:rsidR="00D02973" w:rsidRPr="00EA2F26" w:rsidRDefault="00D02973" w:rsidP="00DF2FAC">
            <w:pPr>
              <w:rPr>
                <w:lang w:eastAsia="en-AU"/>
              </w:rPr>
            </w:pPr>
            <w:r w:rsidRPr="00EA2F26">
              <w:rPr>
                <w:lang w:eastAsia="en-AU"/>
              </w:rPr>
              <w:t>$2,224,423</w:t>
            </w:r>
          </w:p>
        </w:tc>
        <w:tc>
          <w:tcPr>
            <w:tcW w:w="1701" w:type="dxa"/>
            <w:tcBorders>
              <w:top w:val="nil"/>
              <w:left w:val="nil"/>
              <w:bottom w:val="single" w:sz="4" w:space="0" w:color="auto"/>
              <w:right w:val="single" w:sz="4" w:space="0" w:color="auto"/>
            </w:tcBorders>
            <w:shd w:val="clear" w:color="auto" w:fill="auto"/>
            <w:noWrap/>
            <w:vAlign w:val="bottom"/>
            <w:hideMark/>
          </w:tcPr>
          <w:p w:rsidR="00D02973" w:rsidRPr="00EA2F26" w:rsidRDefault="00D02973" w:rsidP="00DF2FAC">
            <w:pPr>
              <w:rPr>
                <w:lang w:eastAsia="en-AU"/>
              </w:rPr>
            </w:pPr>
            <w:r w:rsidRPr="00EA2F26">
              <w:rPr>
                <w:lang w:eastAsia="en-AU"/>
              </w:rPr>
              <w:t>$5,330,000</w:t>
            </w:r>
          </w:p>
        </w:tc>
        <w:tc>
          <w:tcPr>
            <w:tcW w:w="1984" w:type="dxa"/>
            <w:tcBorders>
              <w:top w:val="nil"/>
              <w:left w:val="nil"/>
              <w:bottom w:val="single" w:sz="4" w:space="0" w:color="auto"/>
              <w:right w:val="single" w:sz="4" w:space="0" w:color="auto"/>
            </w:tcBorders>
            <w:shd w:val="clear" w:color="auto" w:fill="auto"/>
            <w:noWrap/>
            <w:vAlign w:val="bottom"/>
            <w:hideMark/>
          </w:tcPr>
          <w:p w:rsidR="00D02973" w:rsidRPr="00EA2F26" w:rsidRDefault="00D02973" w:rsidP="00DF2FAC">
            <w:pPr>
              <w:rPr>
                <w:lang w:eastAsia="en-AU"/>
              </w:rPr>
            </w:pPr>
            <w:r w:rsidRPr="00EA2F26">
              <w:rPr>
                <w:lang w:eastAsia="en-AU"/>
              </w:rPr>
              <w:t>$13,953,080</w:t>
            </w:r>
          </w:p>
        </w:tc>
      </w:tr>
      <w:tr w:rsidR="00D02973" w:rsidRPr="00EA2F26" w:rsidTr="00DF2FAC">
        <w:trPr>
          <w:trHeight w:val="288"/>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2973" w:rsidRPr="00EA2F26" w:rsidRDefault="00D02973" w:rsidP="00DF2FAC">
            <w:pPr>
              <w:rPr>
                <w:b/>
                <w:lang w:eastAsia="en-AU"/>
              </w:rPr>
            </w:pPr>
            <w:r w:rsidRPr="00EA2F26">
              <w:rPr>
                <w:b/>
                <w:lang w:eastAsia="en-AU"/>
              </w:rPr>
              <w:t>Totals</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2973" w:rsidRPr="00EA2F26" w:rsidRDefault="00D02973" w:rsidP="00DF2FAC">
            <w:pPr>
              <w:rPr>
                <w:b/>
                <w:lang w:eastAsia="en-AU"/>
              </w:rPr>
            </w:pPr>
            <w:r w:rsidRPr="00EA2F26">
              <w:rPr>
                <w:b/>
                <w:lang w:eastAsia="en-AU"/>
              </w:rPr>
              <w:t>$22,763,292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2973" w:rsidRPr="00EA2F26" w:rsidRDefault="00D02973" w:rsidP="00DF2FAC">
            <w:pPr>
              <w:rPr>
                <w:b/>
                <w:lang w:eastAsia="en-AU"/>
              </w:rPr>
            </w:pPr>
            <w:r w:rsidRPr="00EA2F26">
              <w:rPr>
                <w:b/>
                <w:lang w:eastAsia="en-AU"/>
              </w:rPr>
              <w:t>$46,089,000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2973" w:rsidRPr="00EA2F26" w:rsidRDefault="00D02973" w:rsidP="00DF2FAC">
            <w:pPr>
              <w:rPr>
                <w:b/>
                <w:lang w:eastAsia="en-AU"/>
              </w:rPr>
            </w:pPr>
            <w:r w:rsidRPr="00EA2F26">
              <w:rPr>
                <w:b/>
                <w:lang w:eastAsia="en-AU"/>
              </w:rPr>
              <w:t>$122,593,281</w:t>
            </w:r>
          </w:p>
        </w:tc>
      </w:tr>
    </w:tbl>
    <w:p w:rsidR="00D02973" w:rsidRPr="00DF2FAC" w:rsidRDefault="00D02973" w:rsidP="00D02973">
      <w:pPr>
        <w:pStyle w:val="Heading2"/>
        <w:rPr>
          <w:color w:val="2E74B5" w:themeColor="accent1" w:themeShade="BF"/>
        </w:rPr>
      </w:pPr>
      <w:bookmarkStart w:id="75" w:name="_Toc448475225"/>
      <w:r w:rsidRPr="00DF2FAC">
        <w:rPr>
          <w:color w:val="2E74B5" w:themeColor="accent1" w:themeShade="BF"/>
        </w:rPr>
        <w:t>6.3</w:t>
      </w:r>
      <w:r w:rsidRPr="00DF2FAC">
        <w:rPr>
          <w:color w:val="2E74B5" w:themeColor="accent1" w:themeShade="BF"/>
        </w:rPr>
        <w:tab/>
        <w:t>Key Assumptions</w:t>
      </w:r>
      <w:bookmarkEnd w:id="75"/>
    </w:p>
    <w:p w:rsidR="00D02973" w:rsidRPr="00EA2F26" w:rsidRDefault="00D02973" w:rsidP="00D02973">
      <w:r w:rsidRPr="00EA2F26">
        <w:t>The financial forecasts are subject to and limited by the following assumptions:</w:t>
      </w:r>
    </w:p>
    <w:p w:rsidR="00D02973" w:rsidRPr="00EA2F26" w:rsidRDefault="00D02973" w:rsidP="00D02973">
      <w:pPr>
        <w:numPr>
          <w:ilvl w:val="0"/>
          <w:numId w:val="29"/>
        </w:numPr>
        <w:contextualSpacing/>
        <w:rPr>
          <w:rFonts w:eastAsiaTheme="minorEastAsia"/>
        </w:rPr>
      </w:pPr>
      <w:r w:rsidRPr="00EA2F26">
        <w:rPr>
          <w:rFonts w:eastAsiaTheme="minorEastAsia"/>
        </w:rPr>
        <w:t>The renewal costs are based on the asset data register (AIM) as at 30 June 2015.</w:t>
      </w:r>
    </w:p>
    <w:p w:rsidR="00D02973" w:rsidRPr="00EA2F26" w:rsidRDefault="00D02973" w:rsidP="00D02973">
      <w:pPr>
        <w:numPr>
          <w:ilvl w:val="0"/>
          <w:numId w:val="29"/>
        </w:numPr>
        <w:contextualSpacing/>
        <w:rPr>
          <w:rFonts w:eastAsiaTheme="minorEastAsia"/>
        </w:rPr>
      </w:pPr>
      <w:r w:rsidRPr="00EA2F26">
        <w:rPr>
          <w:rFonts w:eastAsiaTheme="minorEastAsia"/>
        </w:rPr>
        <w:t xml:space="preserve">Modelled outcomes are derived using the Moloney Model and are therefore subject to the limitations of that model and data is used in it., which includes the assumed performance of the asset types and trigger intervention levels. </w:t>
      </w:r>
    </w:p>
    <w:p w:rsidR="00D02973" w:rsidRPr="00EA2F26" w:rsidRDefault="00D02973" w:rsidP="00D02973">
      <w:pPr>
        <w:numPr>
          <w:ilvl w:val="0"/>
          <w:numId w:val="29"/>
        </w:numPr>
        <w:contextualSpacing/>
        <w:rPr>
          <w:rFonts w:eastAsiaTheme="minorEastAsia"/>
        </w:rPr>
      </w:pPr>
      <w:r w:rsidRPr="00EA2F26">
        <w:rPr>
          <w:rFonts w:eastAsiaTheme="minorEastAsia"/>
        </w:rPr>
        <w:t>Useful Service Lives derived from the asset register are assumed to be a reasonable estimate of the life of the assets.</w:t>
      </w:r>
    </w:p>
    <w:p w:rsidR="00D02973" w:rsidRPr="00EA2F26" w:rsidRDefault="00D02973" w:rsidP="00D02973">
      <w:pPr>
        <w:numPr>
          <w:ilvl w:val="0"/>
          <w:numId w:val="29"/>
        </w:numPr>
        <w:contextualSpacing/>
        <w:rPr>
          <w:rFonts w:eastAsiaTheme="minorEastAsia"/>
        </w:rPr>
      </w:pPr>
      <w:r w:rsidRPr="00EA2F26">
        <w:rPr>
          <w:rFonts w:eastAsiaTheme="minorEastAsia"/>
        </w:rPr>
        <w:t>Asset quantities within the asset register are assumed to be correct.</w:t>
      </w:r>
    </w:p>
    <w:p w:rsidR="00D02973" w:rsidRPr="00EA2F26" w:rsidRDefault="00D02973" w:rsidP="00D02973">
      <w:pPr>
        <w:rPr>
          <w:rFonts w:eastAsiaTheme="majorEastAsia" w:cstheme="majorBidi"/>
          <w:b/>
          <w:bCs/>
          <w:color w:val="FFC000"/>
          <w:sz w:val="28"/>
          <w:szCs w:val="28"/>
        </w:rPr>
      </w:pPr>
      <w:r w:rsidRPr="00EA2F26">
        <w:br w:type="page"/>
      </w:r>
    </w:p>
    <w:p w:rsidR="00D02973" w:rsidRPr="00DF2FAC" w:rsidRDefault="00D02973" w:rsidP="00D02973">
      <w:pPr>
        <w:pStyle w:val="Heading1"/>
        <w:spacing w:after="200"/>
        <w:rPr>
          <w:rFonts w:asciiTheme="minorHAnsi" w:hAnsiTheme="minorHAnsi"/>
        </w:rPr>
      </w:pPr>
      <w:bookmarkStart w:id="76" w:name="_Toc448475226"/>
      <w:r w:rsidRPr="00DF2FAC">
        <w:rPr>
          <w:rFonts w:asciiTheme="minorHAnsi" w:hAnsiTheme="minorHAnsi"/>
        </w:rPr>
        <w:t xml:space="preserve">7.0 </w:t>
      </w:r>
      <w:r w:rsidRPr="00DF2FAC">
        <w:rPr>
          <w:rFonts w:asciiTheme="minorHAnsi" w:hAnsiTheme="minorHAnsi"/>
        </w:rPr>
        <w:tab/>
        <w:t>Asset Management Improvements</w:t>
      </w:r>
      <w:bookmarkStart w:id="77" w:name="_Toc274394343"/>
      <w:bookmarkStart w:id="78" w:name="_Toc278793083"/>
      <w:bookmarkStart w:id="79" w:name="_Toc288653657"/>
      <w:bookmarkStart w:id="80" w:name="_Toc302485196"/>
      <w:bookmarkEnd w:id="66"/>
      <w:bookmarkEnd w:id="71"/>
      <w:bookmarkEnd w:id="76"/>
    </w:p>
    <w:p w:rsidR="00D02973" w:rsidRPr="00EA2F26" w:rsidRDefault="00D02973" w:rsidP="00D02973">
      <w:r w:rsidRPr="00EA2F26">
        <w:t>An active and effective asset management strategy should include continuous review and improvement of the system, data and processes</w:t>
      </w:r>
      <w:r>
        <w:t xml:space="preserve"> used to manage the assets. Table 16 below identifies</w:t>
      </w:r>
      <w:r w:rsidRPr="00EA2F26">
        <w:t xml:space="preserve"> areas for potential improvement to facilitate better asset man</w:t>
      </w:r>
      <w:bookmarkStart w:id="81" w:name="_Toc446068459"/>
      <w:r w:rsidRPr="00EA2F26">
        <w:t xml:space="preserve">agement planning and practice. </w:t>
      </w:r>
    </w:p>
    <w:p w:rsidR="00D02973" w:rsidRPr="00DF2FAC" w:rsidRDefault="00D02973" w:rsidP="00D02973">
      <w:pPr>
        <w:pStyle w:val="Heading2"/>
        <w:spacing w:before="120" w:after="200"/>
        <w:rPr>
          <w:rFonts w:asciiTheme="minorHAnsi" w:hAnsiTheme="minorHAnsi"/>
          <w:color w:val="2E74B5" w:themeColor="accent1" w:themeShade="BF"/>
        </w:rPr>
      </w:pPr>
      <w:bookmarkStart w:id="82" w:name="_Toc448475227"/>
      <w:r w:rsidRPr="00DF2FAC">
        <w:rPr>
          <w:rFonts w:asciiTheme="minorHAnsi" w:hAnsiTheme="minorHAnsi"/>
          <w:color w:val="2E74B5" w:themeColor="accent1" w:themeShade="BF"/>
        </w:rPr>
        <w:t>7.1</w:t>
      </w:r>
      <w:r w:rsidRPr="00DF2FAC">
        <w:rPr>
          <w:rFonts w:asciiTheme="minorHAnsi" w:hAnsiTheme="minorHAnsi"/>
          <w:color w:val="2E74B5" w:themeColor="accent1" w:themeShade="BF"/>
        </w:rPr>
        <w:tab/>
        <w:t>Improvement Plan</w:t>
      </w:r>
      <w:bookmarkEnd w:id="81"/>
      <w:bookmarkEnd w:id="82"/>
    </w:p>
    <w:p w:rsidR="00D02973" w:rsidRPr="00EA2F26" w:rsidRDefault="00D02973" w:rsidP="00D02973">
      <w:pPr>
        <w:rPr>
          <w:rFonts w:eastAsiaTheme="majorEastAsia" w:cstheme="majorBidi"/>
          <w:b/>
          <w:bCs/>
        </w:rPr>
      </w:pPr>
      <w:bookmarkStart w:id="83" w:name="_Toc278793088"/>
      <w:bookmarkStart w:id="84" w:name="_Toc288653665"/>
      <w:bookmarkStart w:id="85" w:name="_Toc302485199"/>
      <w:bookmarkEnd w:id="77"/>
      <w:bookmarkEnd w:id="78"/>
      <w:bookmarkEnd w:id="79"/>
      <w:bookmarkEnd w:id="80"/>
      <w:r w:rsidRPr="00EA2F26">
        <w:rPr>
          <w:rFonts w:eastAsiaTheme="majorEastAsia" w:cstheme="majorBidi"/>
          <w:b/>
          <w:bCs/>
        </w:rPr>
        <w:t>Table 16: AM Improvement Plan Action List</w:t>
      </w:r>
    </w:p>
    <w:tbl>
      <w:tblPr>
        <w:tblW w:w="99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2"/>
        <w:gridCol w:w="5811"/>
        <w:gridCol w:w="1418"/>
        <w:gridCol w:w="850"/>
        <w:gridCol w:w="1276"/>
      </w:tblGrid>
      <w:tr w:rsidR="00D02973" w:rsidRPr="00EA2F26" w:rsidTr="00DF2FAC">
        <w:trPr>
          <w:trHeight w:val="244"/>
        </w:trPr>
        <w:tc>
          <w:tcPr>
            <w:tcW w:w="642" w:type="dxa"/>
            <w:shd w:val="clear" w:color="auto" w:fill="000000" w:themeFill="text1"/>
            <w:vAlign w:val="center"/>
          </w:tcPr>
          <w:p w:rsidR="00D02973" w:rsidRPr="00EA2F26" w:rsidRDefault="00D02973" w:rsidP="00DF2FAC">
            <w:pPr>
              <w:autoSpaceDE w:val="0"/>
              <w:autoSpaceDN w:val="0"/>
              <w:adjustRightInd w:val="0"/>
              <w:jc w:val="center"/>
              <w:rPr>
                <w:rFonts w:cs="Arial"/>
                <w:b/>
                <w:bCs/>
                <w:color w:val="FFFFFF" w:themeColor="background1"/>
                <w:sz w:val="20"/>
                <w:szCs w:val="20"/>
              </w:rPr>
            </w:pPr>
            <w:r w:rsidRPr="00EA2F26">
              <w:rPr>
                <w:rFonts w:cs="Arial"/>
                <w:b/>
                <w:bCs/>
                <w:color w:val="FFFFFF" w:themeColor="background1"/>
                <w:sz w:val="20"/>
                <w:szCs w:val="20"/>
              </w:rPr>
              <w:t>No.</w:t>
            </w:r>
          </w:p>
        </w:tc>
        <w:tc>
          <w:tcPr>
            <w:tcW w:w="5811" w:type="dxa"/>
            <w:shd w:val="clear" w:color="auto" w:fill="000000" w:themeFill="text1"/>
            <w:vAlign w:val="center"/>
          </w:tcPr>
          <w:p w:rsidR="00D02973" w:rsidRPr="00EA2F26" w:rsidRDefault="00D02973" w:rsidP="00DF2FAC">
            <w:pPr>
              <w:autoSpaceDE w:val="0"/>
              <w:autoSpaceDN w:val="0"/>
              <w:adjustRightInd w:val="0"/>
              <w:rPr>
                <w:rFonts w:cs="Arial"/>
                <w:color w:val="FFFFFF" w:themeColor="background1"/>
                <w:sz w:val="20"/>
                <w:szCs w:val="20"/>
              </w:rPr>
            </w:pPr>
            <w:r w:rsidRPr="00EA2F26">
              <w:rPr>
                <w:rFonts w:cs="Arial"/>
                <w:b/>
                <w:bCs/>
                <w:color w:val="FFFFFF" w:themeColor="background1"/>
                <w:sz w:val="20"/>
                <w:szCs w:val="20"/>
              </w:rPr>
              <w:t>Improvement</w:t>
            </w:r>
          </w:p>
        </w:tc>
        <w:tc>
          <w:tcPr>
            <w:tcW w:w="1418" w:type="dxa"/>
            <w:shd w:val="clear" w:color="auto" w:fill="000000" w:themeFill="text1"/>
            <w:vAlign w:val="center"/>
          </w:tcPr>
          <w:p w:rsidR="00D02973" w:rsidRPr="00EA2F26" w:rsidRDefault="00D02973" w:rsidP="00DF2FAC">
            <w:pPr>
              <w:autoSpaceDE w:val="0"/>
              <w:autoSpaceDN w:val="0"/>
              <w:adjustRightInd w:val="0"/>
              <w:jc w:val="center"/>
              <w:rPr>
                <w:rFonts w:cs="Arial"/>
                <w:b/>
                <w:bCs/>
                <w:color w:val="FFFFFF" w:themeColor="background1"/>
                <w:sz w:val="20"/>
                <w:szCs w:val="20"/>
              </w:rPr>
            </w:pPr>
            <w:r w:rsidRPr="00EA2F26">
              <w:rPr>
                <w:rFonts w:cs="Arial"/>
                <w:b/>
                <w:bCs/>
                <w:color w:val="FFFFFF" w:themeColor="background1"/>
                <w:sz w:val="20"/>
                <w:szCs w:val="20"/>
              </w:rPr>
              <w:t>Responsibility</w:t>
            </w:r>
          </w:p>
        </w:tc>
        <w:tc>
          <w:tcPr>
            <w:tcW w:w="850" w:type="dxa"/>
            <w:shd w:val="clear" w:color="auto" w:fill="000000" w:themeFill="text1"/>
            <w:vAlign w:val="center"/>
          </w:tcPr>
          <w:p w:rsidR="00D02973" w:rsidRPr="00EA2F26" w:rsidRDefault="00D02973" w:rsidP="00DF2FAC">
            <w:pPr>
              <w:autoSpaceDE w:val="0"/>
              <w:autoSpaceDN w:val="0"/>
              <w:adjustRightInd w:val="0"/>
              <w:jc w:val="center"/>
              <w:rPr>
                <w:rFonts w:cs="Arial"/>
                <w:color w:val="FFFFFF" w:themeColor="background1"/>
                <w:sz w:val="20"/>
                <w:szCs w:val="20"/>
              </w:rPr>
            </w:pPr>
            <w:r w:rsidRPr="00EA2F26">
              <w:rPr>
                <w:rFonts w:cs="Arial"/>
                <w:b/>
                <w:bCs/>
                <w:color w:val="FFFFFF" w:themeColor="background1"/>
                <w:sz w:val="20"/>
                <w:szCs w:val="20"/>
              </w:rPr>
              <w:t>Priority</w:t>
            </w:r>
          </w:p>
        </w:tc>
        <w:tc>
          <w:tcPr>
            <w:tcW w:w="1276" w:type="dxa"/>
            <w:shd w:val="clear" w:color="auto" w:fill="000000" w:themeFill="text1"/>
            <w:vAlign w:val="center"/>
          </w:tcPr>
          <w:p w:rsidR="00D02973" w:rsidRPr="00EA2F26" w:rsidRDefault="00D02973" w:rsidP="00DF2FAC">
            <w:pPr>
              <w:autoSpaceDE w:val="0"/>
              <w:autoSpaceDN w:val="0"/>
              <w:adjustRightInd w:val="0"/>
              <w:jc w:val="center"/>
              <w:rPr>
                <w:rFonts w:cs="Arial"/>
                <w:color w:val="FFFFFF" w:themeColor="background1"/>
                <w:sz w:val="20"/>
                <w:szCs w:val="20"/>
              </w:rPr>
            </w:pPr>
            <w:r w:rsidRPr="00EA2F26">
              <w:rPr>
                <w:rFonts w:cs="Arial"/>
                <w:b/>
                <w:bCs/>
                <w:color w:val="FFFFFF" w:themeColor="background1"/>
                <w:sz w:val="20"/>
                <w:szCs w:val="20"/>
              </w:rPr>
              <w:t>Target</w:t>
            </w:r>
          </w:p>
        </w:tc>
      </w:tr>
      <w:tr w:rsidR="00D02973" w:rsidRPr="00EA2F26" w:rsidTr="00DF2FAC">
        <w:trPr>
          <w:trHeight w:val="553"/>
        </w:trPr>
        <w:tc>
          <w:tcPr>
            <w:tcW w:w="642" w:type="dxa"/>
            <w:vAlign w:val="center"/>
          </w:tcPr>
          <w:p w:rsidR="00D02973" w:rsidRPr="00EA2F26" w:rsidRDefault="00D02973" w:rsidP="00D02973">
            <w:pPr>
              <w:numPr>
                <w:ilvl w:val="0"/>
                <w:numId w:val="41"/>
              </w:numPr>
              <w:jc w:val="center"/>
              <w:rPr>
                <w:rFonts w:cs="Calibri"/>
                <w:sz w:val="20"/>
                <w:szCs w:val="20"/>
              </w:rPr>
            </w:pPr>
          </w:p>
        </w:tc>
        <w:tc>
          <w:tcPr>
            <w:tcW w:w="5811" w:type="dxa"/>
            <w:vAlign w:val="center"/>
          </w:tcPr>
          <w:p w:rsidR="00D02973" w:rsidRPr="00EA2F26" w:rsidRDefault="00D02973" w:rsidP="00DF2FAC">
            <w:pPr>
              <w:rPr>
                <w:rFonts w:cs="Calibri"/>
                <w:sz w:val="20"/>
                <w:szCs w:val="20"/>
                <w:lang w:eastAsia="en-AU"/>
              </w:rPr>
            </w:pPr>
            <w:r w:rsidRPr="00EA2F26">
              <w:rPr>
                <w:rFonts w:cs="Calibri"/>
                <w:sz w:val="20"/>
                <w:szCs w:val="20"/>
                <w:lang w:eastAsia="en-AU"/>
              </w:rPr>
              <w:t>Continue to work towards integration of CVR, SAM and GIS.</w:t>
            </w:r>
          </w:p>
          <w:p w:rsidR="00D02973" w:rsidRPr="00EA2F26" w:rsidRDefault="00D02973" w:rsidP="00DF2FAC">
            <w:pPr>
              <w:rPr>
                <w:rFonts w:cs="Calibri"/>
                <w:sz w:val="20"/>
                <w:szCs w:val="20"/>
                <w:lang w:eastAsia="en-AU"/>
              </w:rPr>
            </w:pPr>
            <w:r w:rsidRPr="00EA2F26">
              <w:rPr>
                <w:rFonts w:cs="Calibri"/>
                <w:sz w:val="20"/>
                <w:szCs w:val="20"/>
                <w:lang w:eastAsia="en-AU"/>
              </w:rPr>
              <w:t>Update CVR &amp; align with Authority (AIM) and Moloney.</w:t>
            </w:r>
          </w:p>
          <w:p w:rsidR="00D02973" w:rsidRPr="00EA2F26" w:rsidRDefault="00D02973" w:rsidP="00DF2FAC">
            <w:pPr>
              <w:rPr>
                <w:rFonts w:cs="Calibri"/>
                <w:sz w:val="20"/>
                <w:szCs w:val="20"/>
                <w:lang w:eastAsia="en-AU"/>
              </w:rPr>
            </w:pPr>
            <w:r w:rsidRPr="00EA2F26">
              <w:rPr>
                <w:rFonts w:cs="Calibri"/>
                <w:sz w:val="20"/>
                <w:szCs w:val="20"/>
                <w:lang w:eastAsia="en-AU"/>
              </w:rPr>
              <w:t>Develop role and responsibility matrix. Detail individual positions and work groups and their function. Update Asset Database classify all assets into areas of responsibility.</w:t>
            </w:r>
          </w:p>
        </w:tc>
        <w:tc>
          <w:tcPr>
            <w:tcW w:w="1418" w:type="dxa"/>
            <w:vAlign w:val="center"/>
          </w:tcPr>
          <w:p w:rsidR="00D02973" w:rsidRPr="00EA2F26" w:rsidRDefault="00D02973" w:rsidP="00DF2FAC">
            <w:pPr>
              <w:jc w:val="center"/>
              <w:rPr>
                <w:rFonts w:cs="Calibri"/>
                <w:sz w:val="20"/>
                <w:szCs w:val="20"/>
                <w:lang w:eastAsia="en-AU"/>
              </w:rPr>
            </w:pPr>
            <w:r w:rsidRPr="00EA2F26">
              <w:rPr>
                <w:rFonts w:cs="Calibri"/>
                <w:sz w:val="20"/>
                <w:szCs w:val="20"/>
                <w:lang w:eastAsia="en-AU"/>
              </w:rPr>
              <w:t>Coordinator Asset Management</w:t>
            </w:r>
          </w:p>
        </w:tc>
        <w:tc>
          <w:tcPr>
            <w:tcW w:w="850" w:type="dxa"/>
            <w:vAlign w:val="center"/>
          </w:tcPr>
          <w:p w:rsidR="00D02973" w:rsidRPr="00EA2F26" w:rsidRDefault="00D02973" w:rsidP="00DF2FAC">
            <w:pPr>
              <w:jc w:val="center"/>
              <w:rPr>
                <w:rFonts w:cs="Calibri"/>
                <w:sz w:val="20"/>
                <w:szCs w:val="20"/>
                <w:lang w:eastAsia="en-AU"/>
              </w:rPr>
            </w:pPr>
            <w:r w:rsidRPr="00EA2F26">
              <w:rPr>
                <w:rFonts w:cs="Calibri"/>
                <w:sz w:val="20"/>
                <w:szCs w:val="20"/>
                <w:lang w:eastAsia="en-AU"/>
              </w:rPr>
              <w:t>Medium</w:t>
            </w:r>
          </w:p>
        </w:tc>
        <w:tc>
          <w:tcPr>
            <w:tcW w:w="1276" w:type="dxa"/>
            <w:vAlign w:val="center"/>
          </w:tcPr>
          <w:p w:rsidR="00D02973" w:rsidRPr="00EA2F26" w:rsidRDefault="00D02973" w:rsidP="00DF2FAC">
            <w:pPr>
              <w:jc w:val="center"/>
              <w:rPr>
                <w:rFonts w:cs="Calibri"/>
                <w:sz w:val="20"/>
                <w:szCs w:val="20"/>
                <w:lang w:eastAsia="en-AU"/>
              </w:rPr>
            </w:pPr>
            <w:r w:rsidRPr="00EA2F26">
              <w:rPr>
                <w:sz w:val="20"/>
                <w:szCs w:val="20"/>
              </w:rPr>
              <w:t>Ongoing</w:t>
            </w:r>
          </w:p>
        </w:tc>
      </w:tr>
      <w:tr w:rsidR="00D02973" w:rsidRPr="00EA2F26" w:rsidTr="00DF2FAC">
        <w:trPr>
          <w:trHeight w:val="553"/>
        </w:trPr>
        <w:tc>
          <w:tcPr>
            <w:tcW w:w="642" w:type="dxa"/>
            <w:vAlign w:val="center"/>
          </w:tcPr>
          <w:p w:rsidR="00D02973" w:rsidRPr="00EA2F26" w:rsidRDefault="00D02973" w:rsidP="00D02973">
            <w:pPr>
              <w:numPr>
                <w:ilvl w:val="0"/>
                <w:numId w:val="41"/>
              </w:numPr>
              <w:jc w:val="center"/>
              <w:rPr>
                <w:rFonts w:cs="Calibri"/>
                <w:sz w:val="20"/>
                <w:szCs w:val="20"/>
              </w:rPr>
            </w:pPr>
          </w:p>
        </w:tc>
        <w:tc>
          <w:tcPr>
            <w:tcW w:w="5811" w:type="dxa"/>
            <w:vAlign w:val="center"/>
          </w:tcPr>
          <w:p w:rsidR="00D02973" w:rsidRPr="00EA2F26" w:rsidRDefault="00D02973" w:rsidP="00DF2FAC">
            <w:pPr>
              <w:rPr>
                <w:rFonts w:cs="Calibri"/>
                <w:sz w:val="20"/>
                <w:szCs w:val="20"/>
                <w:lang w:eastAsia="en-AU"/>
              </w:rPr>
            </w:pPr>
            <w:r w:rsidRPr="00797E94">
              <w:rPr>
                <w:rFonts w:cs="Calibri"/>
                <w:sz w:val="20"/>
                <w:szCs w:val="20"/>
                <w:lang w:eastAsia="en-AU"/>
              </w:rPr>
              <w:t xml:space="preserve">Identify assets not addressed within the scope of this R&amp;OS-AMP based on a criticality assessment. </w:t>
            </w:r>
          </w:p>
        </w:tc>
        <w:tc>
          <w:tcPr>
            <w:tcW w:w="1418" w:type="dxa"/>
            <w:vAlign w:val="center"/>
          </w:tcPr>
          <w:p w:rsidR="00D02973" w:rsidRPr="00EA2F26" w:rsidRDefault="00D02973" w:rsidP="00DF2FAC">
            <w:pPr>
              <w:jc w:val="center"/>
              <w:rPr>
                <w:rFonts w:cs="Calibri"/>
                <w:sz w:val="20"/>
                <w:szCs w:val="20"/>
                <w:lang w:eastAsia="en-AU"/>
              </w:rPr>
            </w:pPr>
            <w:r w:rsidRPr="00EA2F26">
              <w:rPr>
                <w:rFonts w:cs="Calibri"/>
                <w:sz w:val="20"/>
                <w:szCs w:val="20"/>
                <w:lang w:eastAsia="en-AU"/>
              </w:rPr>
              <w:t>Coordinator Asset Management</w:t>
            </w:r>
          </w:p>
        </w:tc>
        <w:tc>
          <w:tcPr>
            <w:tcW w:w="850" w:type="dxa"/>
            <w:vAlign w:val="center"/>
          </w:tcPr>
          <w:p w:rsidR="00D02973" w:rsidRPr="00EA2F26" w:rsidRDefault="00D02973" w:rsidP="00DF2FAC">
            <w:pPr>
              <w:jc w:val="center"/>
              <w:rPr>
                <w:rFonts w:cs="Calibri"/>
                <w:sz w:val="20"/>
                <w:szCs w:val="20"/>
                <w:lang w:eastAsia="en-AU"/>
              </w:rPr>
            </w:pPr>
            <w:r>
              <w:rPr>
                <w:rFonts w:cs="Calibri"/>
                <w:sz w:val="20"/>
                <w:szCs w:val="20"/>
                <w:lang w:eastAsia="en-AU"/>
              </w:rPr>
              <w:t>High</w:t>
            </w:r>
          </w:p>
        </w:tc>
        <w:tc>
          <w:tcPr>
            <w:tcW w:w="1276" w:type="dxa"/>
            <w:vAlign w:val="center"/>
          </w:tcPr>
          <w:p w:rsidR="00D02973" w:rsidRPr="00EA2F26" w:rsidRDefault="00D02973" w:rsidP="00DF2FAC">
            <w:pPr>
              <w:jc w:val="center"/>
              <w:rPr>
                <w:rFonts w:cs="Calibri"/>
                <w:sz w:val="20"/>
                <w:szCs w:val="20"/>
                <w:lang w:eastAsia="en-AU"/>
              </w:rPr>
            </w:pPr>
            <w:r>
              <w:rPr>
                <w:rFonts w:cs="Calibri"/>
                <w:sz w:val="20"/>
                <w:szCs w:val="20"/>
                <w:lang w:eastAsia="en-AU"/>
              </w:rPr>
              <w:t>16/17</w:t>
            </w:r>
          </w:p>
        </w:tc>
      </w:tr>
      <w:tr w:rsidR="00D02973" w:rsidRPr="00EA2F26" w:rsidTr="00DF2FAC">
        <w:trPr>
          <w:trHeight w:val="553"/>
        </w:trPr>
        <w:tc>
          <w:tcPr>
            <w:tcW w:w="642" w:type="dxa"/>
            <w:vAlign w:val="center"/>
          </w:tcPr>
          <w:p w:rsidR="00D02973" w:rsidRPr="00EA2F26" w:rsidRDefault="00D02973" w:rsidP="00D02973">
            <w:pPr>
              <w:numPr>
                <w:ilvl w:val="0"/>
                <w:numId w:val="41"/>
              </w:numPr>
              <w:jc w:val="center"/>
              <w:rPr>
                <w:rFonts w:cs="Calibri"/>
                <w:sz w:val="20"/>
                <w:szCs w:val="20"/>
              </w:rPr>
            </w:pPr>
          </w:p>
        </w:tc>
        <w:tc>
          <w:tcPr>
            <w:tcW w:w="5811" w:type="dxa"/>
            <w:vAlign w:val="center"/>
          </w:tcPr>
          <w:p w:rsidR="00D02973" w:rsidRPr="00797E94" w:rsidRDefault="00D02973" w:rsidP="00DF2FAC">
            <w:pPr>
              <w:rPr>
                <w:rFonts w:cs="Calibri"/>
                <w:sz w:val="20"/>
                <w:szCs w:val="20"/>
                <w:lang w:eastAsia="en-AU"/>
              </w:rPr>
            </w:pPr>
            <w:r w:rsidRPr="00797E94">
              <w:rPr>
                <w:rFonts w:cs="Calibri"/>
                <w:sz w:val="20"/>
                <w:szCs w:val="20"/>
                <w:lang w:eastAsia="en-AU"/>
              </w:rPr>
              <w:t>Determine a program and propose a renewal allocation in the Capital Works Program for trees</w:t>
            </w:r>
          </w:p>
        </w:tc>
        <w:tc>
          <w:tcPr>
            <w:tcW w:w="1418" w:type="dxa"/>
            <w:vAlign w:val="center"/>
          </w:tcPr>
          <w:p w:rsidR="00D02973" w:rsidRPr="00EA2F26" w:rsidRDefault="00D02973" w:rsidP="00DF2FAC">
            <w:pPr>
              <w:jc w:val="center"/>
              <w:rPr>
                <w:rFonts w:cs="Calibri"/>
                <w:sz w:val="20"/>
                <w:szCs w:val="20"/>
                <w:lang w:eastAsia="en-AU"/>
              </w:rPr>
            </w:pPr>
            <w:r>
              <w:rPr>
                <w:rFonts w:cs="Calibri"/>
                <w:sz w:val="20"/>
                <w:szCs w:val="20"/>
                <w:lang w:eastAsia="en-AU"/>
              </w:rPr>
              <w:t>Manager Environment Sustainability and Open Space</w:t>
            </w:r>
          </w:p>
        </w:tc>
        <w:tc>
          <w:tcPr>
            <w:tcW w:w="850" w:type="dxa"/>
            <w:vAlign w:val="center"/>
          </w:tcPr>
          <w:p w:rsidR="00D02973" w:rsidRPr="00EA2F26" w:rsidRDefault="00D02973" w:rsidP="00DF2FAC">
            <w:pPr>
              <w:jc w:val="center"/>
              <w:rPr>
                <w:rFonts w:cs="Calibri"/>
                <w:sz w:val="20"/>
                <w:szCs w:val="20"/>
                <w:lang w:eastAsia="en-AU"/>
              </w:rPr>
            </w:pPr>
            <w:r>
              <w:rPr>
                <w:rFonts w:cs="Calibri"/>
                <w:sz w:val="20"/>
                <w:szCs w:val="20"/>
                <w:lang w:eastAsia="en-AU"/>
              </w:rPr>
              <w:t>High</w:t>
            </w:r>
          </w:p>
        </w:tc>
        <w:tc>
          <w:tcPr>
            <w:tcW w:w="1276" w:type="dxa"/>
            <w:vAlign w:val="center"/>
          </w:tcPr>
          <w:p w:rsidR="00D02973" w:rsidRPr="00EA2F26" w:rsidRDefault="00D02973" w:rsidP="00DF2FAC">
            <w:pPr>
              <w:jc w:val="center"/>
              <w:rPr>
                <w:rFonts w:cs="Calibri"/>
                <w:sz w:val="20"/>
                <w:szCs w:val="20"/>
                <w:lang w:eastAsia="en-AU"/>
              </w:rPr>
            </w:pPr>
            <w:r>
              <w:rPr>
                <w:rFonts w:cs="Calibri"/>
                <w:sz w:val="20"/>
                <w:szCs w:val="20"/>
                <w:lang w:eastAsia="en-AU"/>
              </w:rPr>
              <w:t>16/17</w:t>
            </w:r>
          </w:p>
        </w:tc>
      </w:tr>
      <w:tr w:rsidR="00D02973" w:rsidRPr="00EA2F26" w:rsidTr="00DF2FAC">
        <w:trPr>
          <w:trHeight w:val="553"/>
        </w:trPr>
        <w:tc>
          <w:tcPr>
            <w:tcW w:w="642" w:type="dxa"/>
            <w:vAlign w:val="center"/>
          </w:tcPr>
          <w:p w:rsidR="00D02973" w:rsidRPr="00EA2F26" w:rsidRDefault="00D02973" w:rsidP="00D02973">
            <w:pPr>
              <w:numPr>
                <w:ilvl w:val="0"/>
                <w:numId w:val="41"/>
              </w:numPr>
              <w:jc w:val="center"/>
              <w:rPr>
                <w:rFonts w:cs="Calibri"/>
                <w:sz w:val="20"/>
                <w:szCs w:val="20"/>
              </w:rPr>
            </w:pPr>
          </w:p>
        </w:tc>
        <w:tc>
          <w:tcPr>
            <w:tcW w:w="5811" w:type="dxa"/>
            <w:vAlign w:val="center"/>
          </w:tcPr>
          <w:p w:rsidR="00D02973" w:rsidRPr="00E8577F" w:rsidRDefault="00D02973" w:rsidP="00DF2FAC">
            <w:pPr>
              <w:rPr>
                <w:rFonts w:cs="Calibri"/>
                <w:sz w:val="20"/>
                <w:szCs w:val="20"/>
                <w:lang w:eastAsia="en-AU"/>
              </w:rPr>
            </w:pPr>
            <w:r w:rsidRPr="00E8577F">
              <w:rPr>
                <w:rFonts w:cs="Calibri"/>
                <w:sz w:val="20"/>
                <w:szCs w:val="20"/>
                <w:lang w:eastAsia="en-AU"/>
              </w:rPr>
              <w:t>Continue to develop and cross reference Asset Upgrade Strategies, Place-based Strategies</w:t>
            </w:r>
            <w:r>
              <w:rPr>
                <w:rFonts w:cs="Calibri"/>
                <w:sz w:val="20"/>
                <w:szCs w:val="20"/>
                <w:lang w:eastAsia="en-AU"/>
              </w:rPr>
              <w:t>, Service Strategies</w:t>
            </w:r>
            <w:r w:rsidRPr="00E8577F">
              <w:rPr>
                <w:rFonts w:cs="Calibri"/>
                <w:sz w:val="20"/>
                <w:szCs w:val="20"/>
                <w:lang w:eastAsia="en-AU"/>
              </w:rPr>
              <w:t xml:space="preserve"> and undertake Strategic Service Reviews that document the future service needs for recreation and open space infrastructure.</w:t>
            </w:r>
          </w:p>
          <w:p w:rsidR="00D02973" w:rsidRPr="00EA2F26" w:rsidRDefault="00D02973" w:rsidP="00DF2FAC">
            <w:pPr>
              <w:rPr>
                <w:rFonts w:cs="Calibri"/>
                <w:sz w:val="20"/>
                <w:szCs w:val="20"/>
                <w:lang w:eastAsia="en-AU"/>
              </w:rPr>
            </w:pPr>
            <w:r w:rsidRPr="00EA2F26">
              <w:rPr>
                <w:rFonts w:cs="Calibri"/>
                <w:sz w:val="20"/>
                <w:szCs w:val="20"/>
                <w:lang w:eastAsia="en-AU"/>
              </w:rPr>
              <w:t>Previously completed SSRs that did not consider asset requirements need to be revisited and long term asset requirements determined.</w:t>
            </w:r>
          </w:p>
        </w:tc>
        <w:tc>
          <w:tcPr>
            <w:tcW w:w="1418" w:type="dxa"/>
            <w:vAlign w:val="center"/>
          </w:tcPr>
          <w:p w:rsidR="00D02973" w:rsidRPr="00EA2F26" w:rsidRDefault="00D02973" w:rsidP="00DF2FAC">
            <w:pPr>
              <w:jc w:val="center"/>
              <w:rPr>
                <w:rFonts w:cs="Calibri"/>
                <w:sz w:val="20"/>
                <w:szCs w:val="20"/>
                <w:lang w:eastAsia="en-AU"/>
              </w:rPr>
            </w:pPr>
            <w:r w:rsidRPr="00EA2F26">
              <w:rPr>
                <w:rFonts w:cs="Calibri"/>
                <w:sz w:val="20"/>
                <w:szCs w:val="20"/>
                <w:lang w:eastAsia="en-AU"/>
              </w:rPr>
              <w:t>Service-driven Asset Management COG</w:t>
            </w:r>
          </w:p>
        </w:tc>
        <w:tc>
          <w:tcPr>
            <w:tcW w:w="850" w:type="dxa"/>
            <w:vAlign w:val="center"/>
          </w:tcPr>
          <w:p w:rsidR="00D02973" w:rsidRPr="00EA2F26" w:rsidRDefault="00D02973" w:rsidP="00DF2FAC">
            <w:pPr>
              <w:jc w:val="center"/>
              <w:rPr>
                <w:rFonts w:cs="Calibri"/>
                <w:sz w:val="20"/>
                <w:szCs w:val="20"/>
                <w:lang w:eastAsia="en-AU"/>
              </w:rPr>
            </w:pPr>
            <w:r w:rsidRPr="00EA2F26">
              <w:rPr>
                <w:rFonts w:cs="Calibri"/>
                <w:sz w:val="20"/>
                <w:szCs w:val="20"/>
                <w:lang w:eastAsia="en-AU"/>
              </w:rPr>
              <w:t>High</w:t>
            </w:r>
          </w:p>
        </w:tc>
        <w:tc>
          <w:tcPr>
            <w:tcW w:w="1276" w:type="dxa"/>
            <w:vAlign w:val="center"/>
          </w:tcPr>
          <w:p w:rsidR="00D02973" w:rsidRPr="00EA2F26" w:rsidRDefault="00D02973" w:rsidP="00DF2FAC">
            <w:pPr>
              <w:jc w:val="center"/>
              <w:rPr>
                <w:rFonts w:cs="Calibri"/>
                <w:sz w:val="20"/>
                <w:szCs w:val="20"/>
                <w:lang w:eastAsia="en-AU"/>
              </w:rPr>
            </w:pPr>
            <w:r w:rsidRPr="00EA2F26">
              <w:rPr>
                <w:rFonts w:cs="Calibri"/>
                <w:sz w:val="20"/>
                <w:szCs w:val="20"/>
                <w:lang w:eastAsia="en-AU"/>
              </w:rPr>
              <w:t>ongoing</w:t>
            </w:r>
          </w:p>
        </w:tc>
      </w:tr>
      <w:tr w:rsidR="00D02973" w:rsidRPr="00EA2F26" w:rsidTr="00DF2FAC">
        <w:trPr>
          <w:trHeight w:val="553"/>
        </w:trPr>
        <w:tc>
          <w:tcPr>
            <w:tcW w:w="642" w:type="dxa"/>
            <w:vAlign w:val="center"/>
          </w:tcPr>
          <w:p w:rsidR="00D02973" w:rsidRPr="00EA2F26" w:rsidRDefault="00D02973" w:rsidP="00D02973">
            <w:pPr>
              <w:numPr>
                <w:ilvl w:val="0"/>
                <w:numId w:val="41"/>
              </w:numPr>
              <w:jc w:val="center"/>
              <w:rPr>
                <w:rFonts w:cs="Calibri"/>
                <w:sz w:val="20"/>
                <w:szCs w:val="20"/>
              </w:rPr>
            </w:pPr>
          </w:p>
        </w:tc>
        <w:tc>
          <w:tcPr>
            <w:tcW w:w="5811" w:type="dxa"/>
            <w:vAlign w:val="center"/>
          </w:tcPr>
          <w:p w:rsidR="00D02973" w:rsidRPr="00EA2F26" w:rsidRDefault="00D02973" w:rsidP="00DF2FAC">
            <w:pPr>
              <w:rPr>
                <w:rFonts w:cs="Calibri"/>
                <w:sz w:val="20"/>
                <w:szCs w:val="20"/>
                <w:lang w:eastAsia="en-AU"/>
              </w:rPr>
            </w:pPr>
            <w:r w:rsidRPr="00EA2F26">
              <w:rPr>
                <w:rFonts w:cs="Arial"/>
                <w:color w:val="000000"/>
                <w:sz w:val="20"/>
                <w:szCs w:val="20"/>
              </w:rPr>
              <w:t>Risk Criteria needs to be developed for key recreation and open spaces to assist work programming and capital works prioritisation</w:t>
            </w:r>
          </w:p>
        </w:tc>
        <w:tc>
          <w:tcPr>
            <w:tcW w:w="1418" w:type="dxa"/>
            <w:vAlign w:val="center"/>
          </w:tcPr>
          <w:p w:rsidR="00D02973" w:rsidRPr="00EA2F26" w:rsidRDefault="00D02973" w:rsidP="00DF2FAC">
            <w:pPr>
              <w:jc w:val="center"/>
              <w:rPr>
                <w:rFonts w:cs="Calibri"/>
                <w:sz w:val="20"/>
                <w:szCs w:val="20"/>
                <w:lang w:eastAsia="en-AU"/>
              </w:rPr>
            </w:pPr>
            <w:r w:rsidRPr="00EA2F26">
              <w:rPr>
                <w:rFonts w:cs="Calibri"/>
                <w:sz w:val="20"/>
                <w:szCs w:val="20"/>
                <w:lang w:eastAsia="en-AU"/>
              </w:rPr>
              <w:t>Coordinator Asset Management</w:t>
            </w:r>
          </w:p>
        </w:tc>
        <w:tc>
          <w:tcPr>
            <w:tcW w:w="850" w:type="dxa"/>
            <w:vAlign w:val="center"/>
          </w:tcPr>
          <w:p w:rsidR="00D02973" w:rsidRPr="00EA2F26" w:rsidRDefault="00D02973" w:rsidP="00DF2FAC">
            <w:pPr>
              <w:jc w:val="center"/>
              <w:rPr>
                <w:rFonts w:cs="Calibri"/>
                <w:sz w:val="20"/>
                <w:szCs w:val="20"/>
                <w:lang w:eastAsia="en-AU"/>
              </w:rPr>
            </w:pPr>
            <w:r w:rsidRPr="00EA2F26">
              <w:rPr>
                <w:rFonts w:cs="Calibri"/>
                <w:sz w:val="20"/>
                <w:szCs w:val="20"/>
                <w:lang w:eastAsia="en-AU"/>
              </w:rPr>
              <w:t>Medium</w:t>
            </w:r>
          </w:p>
        </w:tc>
        <w:tc>
          <w:tcPr>
            <w:tcW w:w="1276" w:type="dxa"/>
            <w:vAlign w:val="center"/>
          </w:tcPr>
          <w:p w:rsidR="00D02973" w:rsidRPr="00EA2F26" w:rsidRDefault="00D02973" w:rsidP="00DF2FAC">
            <w:pPr>
              <w:jc w:val="center"/>
              <w:rPr>
                <w:rFonts w:cs="Calibri"/>
                <w:sz w:val="20"/>
                <w:szCs w:val="20"/>
                <w:lang w:eastAsia="en-AU"/>
              </w:rPr>
            </w:pPr>
            <w:r w:rsidRPr="00EA2F26">
              <w:rPr>
                <w:rFonts w:cs="Calibri"/>
                <w:sz w:val="20"/>
                <w:szCs w:val="20"/>
                <w:lang w:eastAsia="en-AU"/>
              </w:rPr>
              <w:t>16/17</w:t>
            </w:r>
          </w:p>
        </w:tc>
      </w:tr>
      <w:tr w:rsidR="00D02973" w:rsidRPr="00EA2F26" w:rsidTr="00DF2FAC">
        <w:trPr>
          <w:trHeight w:val="553"/>
        </w:trPr>
        <w:tc>
          <w:tcPr>
            <w:tcW w:w="642" w:type="dxa"/>
            <w:vAlign w:val="center"/>
          </w:tcPr>
          <w:p w:rsidR="00D02973" w:rsidRPr="00EA2F26" w:rsidRDefault="00D02973" w:rsidP="00DF2FAC">
            <w:pPr>
              <w:autoSpaceDE w:val="0"/>
              <w:autoSpaceDN w:val="0"/>
              <w:adjustRightInd w:val="0"/>
              <w:jc w:val="center"/>
              <w:rPr>
                <w:rFonts w:cs="Arial"/>
                <w:sz w:val="20"/>
                <w:szCs w:val="20"/>
              </w:rPr>
            </w:pPr>
            <w:r w:rsidRPr="00EA2F26">
              <w:rPr>
                <w:rFonts w:cs="Arial"/>
                <w:sz w:val="20"/>
                <w:szCs w:val="20"/>
              </w:rPr>
              <w:t>4.</w:t>
            </w:r>
          </w:p>
        </w:tc>
        <w:tc>
          <w:tcPr>
            <w:tcW w:w="5811" w:type="dxa"/>
            <w:vAlign w:val="center"/>
          </w:tcPr>
          <w:p w:rsidR="00D02973" w:rsidRPr="00EA2F26" w:rsidRDefault="00D02973" w:rsidP="00DF2FAC">
            <w:pPr>
              <w:autoSpaceDE w:val="0"/>
              <w:autoSpaceDN w:val="0"/>
              <w:adjustRightInd w:val="0"/>
              <w:rPr>
                <w:rFonts w:cs="Arial"/>
                <w:color w:val="000000"/>
                <w:sz w:val="20"/>
                <w:szCs w:val="20"/>
              </w:rPr>
            </w:pPr>
            <w:r w:rsidRPr="00EA2F26">
              <w:rPr>
                <w:rFonts w:cs="Arial"/>
                <w:color w:val="000000"/>
                <w:sz w:val="20"/>
                <w:szCs w:val="20"/>
              </w:rPr>
              <w:t xml:space="preserve">Clarify and review the maintenance and renewal arrangements for all lease and other tenancy agreements (e.g. golf courses, sports facilities) relating to </w:t>
            </w:r>
            <w:r>
              <w:rPr>
                <w:rFonts w:cs="Arial"/>
                <w:color w:val="000000"/>
                <w:sz w:val="20"/>
                <w:szCs w:val="20"/>
              </w:rPr>
              <w:t>Council</w:t>
            </w:r>
            <w:r w:rsidRPr="00EA2F26">
              <w:rPr>
                <w:rFonts w:cs="Arial"/>
                <w:color w:val="000000"/>
                <w:sz w:val="20"/>
                <w:szCs w:val="20"/>
              </w:rPr>
              <w:t xml:space="preserve"> owned recreation and open spaces and assess their impact on Moloney Modelling and the R&amp;OS-AMP.</w:t>
            </w:r>
          </w:p>
        </w:tc>
        <w:tc>
          <w:tcPr>
            <w:tcW w:w="1418" w:type="dxa"/>
            <w:vAlign w:val="center"/>
          </w:tcPr>
          <w:p w:rsidR="00D02973" w:rsidRPr="00EA2F26" w:rsidRDefault="00D02973" w:rsidP="00DF2FAC">
            <w:pPr>
              <w:autoSpaceDE w:val="0"/>
              <w:autoSpaceDN w:val="0"/>
              <w:adjustRightInd w:val="0"/>
              <w:jc w:val="center"/>
              <w:rPr>
                <w:rFonts w:cs="Arial"/>
                <w:color w:val="000000"/>
                <w:sz w:val="20"/>
                <w:szCs w:val="20"/>
              </w:rPr>
            </w:pPr>
            <w:r w:rsidRPr="00EA2F26">
              <w:rPr>
                <w:rFonts w:cs="Calibri"/>
                <w:sz w:val="20"/>
                <w:szCs w:val="20"/>
                <w:lang w:eastAsia="en-AU"/>
              </w:rPr>
              <w:t>Coordinator Asset Management</w:t>
            </w:r>
          </w:p>
        </w:tc>
        <w:tc>
          <w:tcPr>
            <w:tcW w:w="850" w:type="dxa"/>
            <w:vAlign w:val="center"/>
          </w:tcPr>
          <w:p w:rsidR="00D02973" w:rsidRPr="00EA2F26" w:rsidRDefault="00D02973" w:rsidP="00DF2FAC">
            <w:pPr>
              <w:autoSpaceDE w:val="0"/>
              <w:autoSpaceDN w:val="0"/>
              <w:adjustRightInd w:val="0"/>
              <w:jc w:val="center"/>
              <w:rPr>
                <w:rFonts w:cs="Arial"/>
                <w:color w:val="000000"/>
                <w:sz w:val="20"/>
                <w:szCs w:val="20"/>
              </w:rPr>
            </w:pPr>
            <w:r w:rsidRPr="00EA2F26">
              <w:rPr>
                <w:rFonts w:cs="Arial"/>
                <w:color w:val="000000"/>
                <w:sz w:val="20"/>
                <w:szCs w:val="20"/>
              </w:rPr>
              <w:t>High</w:t>
            </w:r>
          </w:p>
        </w:tc>
        <w:tc>
          <w:tcPr>
            <w:tcW w:w="1276" w:type="dxa"/>
            <w:vAlign w:val="center"/>
          </w:tcPr>
          <w:p w:rsidR="00D02973" w:rsidRPr="00EA2F26" w:rsidRDefault="00D02973" w:rsidP="00DF2FAC">
            <w:pPr>
              <w:autoSpaceDE w:val="0"/>
              <w:autoSpaceDN w:val="0"/>
              <w:adjustRightInd w:val="0"/>
              <w:jc w:val="center"/>
              <w:rPr>
                <w:rFonts w:cs="Arial"/>
                <w:color w:val="000000"/>
                <w:sz w:val="20"/>
                <w:szCs w:val="20"/>
              </w:rPr>
            </w:pPr>
            <w:r w:rsidRPr="00EA2F26">
              <w:rPr>
                <w:rFonts w:cs="Arial"/>
                <w:color w:val="000000"/>
                <w:sz w:val="20"/>
                <w:szCs w:val="20"/>
              </w:rPr>
              <w:t>16/17</w:t>
            </w:r>
          </w:p>
        </w:tc>
      </w:tr>
      <w:tr w:rsidR="00D02973" w:rsidRPr="00EA2F26" w:rsidTr="00DF2FAC">
        <w:trPr>
          <w:trHeight w:val="553"/>
        </w:trPr>
        <w:tc>
          <w:tcPr>
            <w:tcW w:w="642" w:type="dxa"/>
            <w:vAlign w:val="center"/>
          </w:tcPr>
          <w:p w:rsidR="00D02973" w:rsidRPr="00EA2F26" w:rsidRDefault="00D02973" w:rsidP="00DF2FAC">
            <w:pPr>
              <w:jc w:val="center"/>
              <w:rPr>
                <w:rFonts w:cs="Calibri"/>
                <w:sz w:val="20"/>
                <w:szCs w:val="20"/>
              </w:rPr>
            </w:pPr>
            <w:r w:rsidRPr="00EA2F26">
              <w:rPr>
                <w:rFonts w:cs="Calibri"/>
                <w:sz w:val="20"/>
                <w:szCs w:val="20"/>
              </w:rPr>
              <w:t>5.</w:t>
            </w:r>
          </w:p>
        </w:tc>
        <w:tc>
          <w:tcPr>
            <w:tcW w:w="5811" w:type="dxa"/>
            <w:vAlign w:val="center"/>
          </w:tcPr>
          <w:p w:rsidR="00D02973" w:rsidRPr="00EA2F26" w:rsidRDefault="00D02973" w:rsidP="00DF2FAC">
            <w:pPr>
              <w:rPr>
                <w:rFonts w:cs="Calibri"/>
                <w:sz w:val="20"/>
                <w:szCs w:val="20"/>
                <w:lang w:eastAsia="en-AU"/>
              </w:rPr>
            </w:pPr>
            <w:r w:rsidRPr="00EA2F26">
              <w:rPr>
                <w:rFonts w:cs="Calibri"/>
                <w:sz w:val="20"/>
                <w:szCs w:val="20"/>
                <w:lang w:eastAsia="en-AU"/>
              </w:rPr>
              <w:t>Continue to clarify and review maintenance and renewal arrangements for all lease and other tenancy agreements and assess their impact on Moloney Modelling and the R&amp;OS-AMP.</w:t>
            </w:r>
          </w:p>
        </w:tc>
        <w:tc>
          <w:tcPr>
            <w:tcW w:w="1418" w:type="dxa"/>
            <w:vAlign w:val="center"/>
          </w:tcPr>
          <w:p w:rsidR="00D02973" w:rsidRPr="00EA2F26" w:rsidRDefault="00D02973" w:rsidP="00DF2FAC">
            <w:pPr>
              <w:jc w:val="center"/>
              <w:rPr>
                <w:rFonts w:cs="Calibri"/>
                <w:sz w:val="20"/>
                <w:szCs w:val="20"/>
                <w:lang w:eastAsia="en-AU"/>
              </w:rPr>
            </w:pPr>
            <w:r>
              <w:rPr>
                <w:rFonts w:cs="Calibri"/>
                <w:sz w:val="20"/>
                <w:szCs w:val="20"/>
                <w:lang w:eastAsia="en-AU"/>
              </w:rPr>
              <w:t>Recreation and Events Coordinator</w:t>
            </w:r>
          </w:p>
          <w:p w:rsidR="00D02973" w:rsidRPr="00EA2F26" w:rsidRDefault="00D02973" w:rsidP="00DF2FAC">
            <w:pPr>
              <w:jc w:val="center"/>
              <w:rPr>
                <w:rFonts w:cs="Calibri"/>
                <w:sz w:val="20"/>
                <w:szCs w:val="20"/>
                <w:lang w:eastAsia="en-AU"/>
              </w:rPr>
            </w:pPr>
            <w:r w:rsidRPr="00EA2F26">
              <w:rPr>
                <w:rFonts w:cs="Calibri"/>
                <w:sz w:val="20"/>
                <w:szCs w:val="20"/>
                <w:lang w:eastAsia="en-AU"/>
              </w:rPr>
              <w:t>Coordinator Asset Management</w:t>
            </w:r>
          </w:p>
        </w:tc>
        <w:tc>
          <w:tcPr>
            <w:tcW w:w="850" w:type="dxa"/>
            <w:vAlign w:val="center"/>
          </w:tcPr>
          <w:p w:rsidR="00D02973" w:rsidRPr="00EA2F26" w:rsidRDefault="00D02973" w:rsidP="00DF2FAC">
            <w:pPr>
              <w:jc w:val="center"/>
              <w:rPr>
                <w:rFonts w:cs="Calibri"/>
                <w:sz w:val="20"/>
                <w:szCs w:val="20"/>
                <w:lang w:eastAsia="en-AU"/>
              </w:rPr>
            </w:pPr>
            <w:r w:rsidRPr="00EA2F26">
              <w:rPr>
                <w:rFonts w:cs="Calibri"/>
                <w:sz w:val="20"/>
                <w:szCs w:val="20"/>
                <w:lang w:eastAsia="en-AU"/>
              </w:rPr>
              <w:t>High</w:t>
            </w:r>
          </w:p>
        </w:tc>
        <w:tc>
          <w:tcPr>
            <w:tcW w:w="1276" w:type="dxa"/>
            <w:vAlign w:val="center"/>
          </w:tcPr>
          <w:p w:rsidR="00D02973" w:rsidRPr="00EA2F26" w:rsidRDefault="00D02973" w:rsidP="00DF2FAC">
            <w:pPr>
              <w:jc w:val="center"/>
              <w:rPr>
                <w:rFonts w:cs="Calibri"/>
                <w:sz w:val="20"/>
                <w:szCs w:val="20"/>
                <w:lang w:eastAsia="en-AU"/>
              </w:rPr>
            </w:pPr>
            <w:r w:rsidRPr="00EA2F26">
              <w:rPr>
                <w:rFonts w:cs="Arial"/>
                <w:color w:val="000000"/>
                <w:sz w:val="20"/>
                <w:szCs w:val="20"/>
              </w:rPr>
              <w:t>16/17</w:t>
            </w:r>
          </w:p>
        </w:tc>
      </w:tr>
      <w:tr w:rsidR="00D02973" w:rsidRPr="00EA2F26" w:rsidTr="00DF2FAC">
        <w:trPr>
          <w:trHeight w:val="553"/>
        </w:trPr>
        <w:tc>
          <w:tcPr>
            <w:tcW w:w="642" w:type="dxa"/>
            <w:vAlign w:val="center"/>
          </w:tcPr>
          <w:p w:rsidR="00D02973" w:rsidRPr="00EA2F26" w:rsidRDefault="00D02973" w:rsidP="00DF2FAC">
            <w:pPr>
              <w:autoSpaceDE w:val="0"/>
              <w:autoSpaceDN w:val="0"/>
              <w:adjustRightInd w:val="0"/>
              <w:jc w:val="center"/>
              <w:rPr>
                <w:rFonts w:cs="Arial"/>
                <w:sz w:val="20"/>
                <w:szCs w:val="20"/>
              </w:rPr>
            </w:pPr>
            <w:r w:rsidRPr="00EA2F26">
              <w:rPr>
                <w:rFonts w:cs="Arial"/>
                <w:sz w:val="20"/>
                <w:szCs w:val="20"/>
              </w:rPr>
              <w:t>6.</w:t>
            </w:r>
          </w:p>
        </w:tc>
        <w:tc>
          <w:tcPr>
            <w:tcW w:w="5811" w:type="dxa"/>
            <w:vAlign w:val="center"/>
          </w:tcPr>
          <w:p w:rsidR="00D02973" w:rsidRPr="00EA2F26" w:rsidRDefault="00D02973" w:rsidP="00DF2FAC">
            <w:pPr>
              <w:autoSpaceDE w:val="0"/>
              <w:autoSpaceDN w:val="0"/>
              <w:adjustRightInd w:val="0"/>
              <w:rPr>
                <w:rFonts w:cs="Arial"/>
                <w:color w:val="000000"/>
                <w:sz w:val="20"/>
                <w:szCs w:val="20"/>
              </w:rPr>
            </w:pPr>
            <w:r w:rsidRPr="00EA2F26">
              <w:rPr>
                <w:rFonts w:cs="Arial"/>
                <w:color w:val="000000"/>
                <w:sz w:val="20"/>
                <w:szCs w:val="20"/>
              </w:rPr>
              <w:t>In preparation for the development of a Strategic Service Management Plan for Trees, review:</w:t>
            </w:r>
          </w:p>
          <w:p w:rsidR="00D02973" w:rsidRPr="00EA2F26" w:rsidRDefault="00D02973" w:rsidP="00DF2FAC">
            <w:pPr>
              <w:autoSpaceDE w:val="0"/>
              <w:autoSpaceDN w:val="0"/>
              <w:adjustRightInd w:val="0"/>
              <w:rPr>
                <w:rFonts w:cs="Arial"/>
                <w:color w:val="000000"/>
                <w:sz w:val="20"/>
                <w:szCs w:val="20"/>
              </w:rPr>
            </w:pPr>
            <w:r w:rsidRPr="00EA2F26">
              <w:rPr>
                <w:rFonts w:cs="Arial"/>
                <w:color w:val="000000"/>
                <w:sz w:val="20"/>
                <w:szCs w:val="20"/>
              </w:rPr>
              <w:t>Improved estimating remaining life and replacement modelling;</w:t>
            </w:r>
          </w:p>
          <w:p w:rsidR="00D02973" w:rsidRPr="00EA2F26" w:rsidRDefault="00D02973" w:rsidP="00DF2FAC">
            <w:pPr>
              <w:autoSpaceDE w:val="0"/>
              <w:autoSpaceDN w:val="0"/>
              <w:adjustRightInd w:val="0"/>
              <w:rPr>
                <w:rFonts w:cs="Arial"/>
                <w:color w:val="000000"/>
                <w:sz w:val="20"/>
                <w:szCs w:val="20"/>
              </w:rPr>
            </w:pPr>
            <w:r w:rsidRPr="00EA2F26">
              <w:rPr>
                <w:rFonts w:cs="Arial"/>
                <w:color w:val="000000"/>
                <w:sz w:val="20"/>
                <w:szCs w:val="20"/>
              </w:rPr>
              <w:t>Footpath planting protocols; and</w:t>
            </w:r>
          </w:p>
          <w:p w:rsidR="00D02973" w:rsidRPr="00EA2F26" w:rsidRDefault="00D02973" w:rsidP="00DF2FAC">
            <w:pPr>
              <w:autoSpaceDE w:val="0"/>
              <w:autoSpaceDN w:val="0"/>
              <w:adjustRightInd w:val="0"/>
              <w:rPr>
                <w:rFonts w:cs="Arial"/>
                <w:color w:val="000000"/>
                <w:sz w:val="20"/>
                <w:szCs w:val="20"/>
              </w:rPr>
            </w:pPr>
            <w:r w:rsidRPr="00EA2F26">
              <w:rPr>
                <w:rFonts w:cs="Arial"/>
                <w:color w:val="000000"/>
                <w:sz w:val="20"/>
                <w:szCs w:val="20"/>
              </w:rPr>
              <w:t>Future planting programs and funding, including current backlog</w:t>
            </w:r>
          </w:p>
        </w:tc>
        <w:tc>
          <w:tcPr>
            <w:tcW w:w="1418" w:type="dxa"/>
            <w:vAlign w:val="center"/>
          </w:tcPr>
          <w:p w:rsidR="00D02973" w:rsidRPr="00EA2F26" w:rsidRDefault="00D02973" w:rsidP="00DF2FAC">
            <w:pPr>
              <w:autoSpaceDE w:val="0"/>
              <w:autoSpaceDN w:val="0"/>
              <w:adjustRightInd w:val="0"/>
              <w:jc w:val="center"/>
              <w:rPr>
                <w:rFonts w:cs="Arial"/>
                <w:color w:val="000000"/>
                <w:sz w:val="20"/>
                <w:szCs w:val="20"/>
              </w:rPr>
            </w:pPr>
            <w:r w:rsidRPr="00EA2F26">
              <w:rPr>
                <w:rFonts w:cs="Calibri"/>
                <w:sz w:val="20"/>
                <w:szCs w:val="20"/>
                <w:lang w:eastAsia="en-AU"/>
              </w:rPr>
              <w:t>Coordinator Asset Management</w:t>
            </w:r>
          </w:p>
        </w:tc>
        <w:tc>
          <w:tcPr>
            <w:tcW w:w="850" w:type="dxa"/>
            <w:vAlign w:val="center"/>
          </w:tcPr>
          <w:p w:rsidR="00D02973" w:rsidRPr="00EA2F26" w:rsidRDefault="00D02973" w:rsidP="00DF2FAC">
            <w:pPr>
              <w:autoSpaceDE w:val="0"/>
              <w:autoSpaceDN w:val="0"/>
              <w:adjustRightInd w:val="0"/>
              <w:jc w:val="center"/>
              <w:rPr>
                <w:rFonts w:cs="Arial"/>
                <w:color w:val="000000"/>
                <w:sz w:val="20"/>
                <w:szCs w:val="20"/>
              </w:rPr>
            </w:pPr>
            <w:r w:rsidRPr="00EA2F26">
              <w:rPr>
                <w:rFonts w:cs="Arial"/>
                <w:color w:val="000000"/>
                <w:sz w:val="20"/>
                <w:szCs w:val="20"/>
              </w:rPr>
              <w:t>Medium</w:t>
            </w:r>
          </w:p>
        </w:tc>
        <w:tc>
          <w:tcPr>
            <w:tcW w:w="1276" w:type="dxa"/>
            <w:vAlign w:val="center"/>
          </w:tcPr>
          <w:p w:rsidR="00D02973" w:rsidRPr="00EA2F26" w:rsidRDefault="00D02973" w:rsidP="00DF2FAC">
            <w:pPr>
              <w:autoSpaceDE w:val="0"/>
              <w:autoSpaceDN w:val="0"/>
              <w:adjustRightInd w:val="0"/>
              <w:jc w:val="center"/>
              <w:rPr>
                <w:rFonts w:cs="Arial"/>
                <w:color w:val="000000"/>
                <w:sz w:val="20"/>
                <w:szCs w:val="20"/>
              </w:rPr>
            </w:pPr>
            <w:r w:rsidRPr="00EA2F26">
              <w:rPr>
                <w:rFonts w:cs="Arial"/>
                <w:color w:val="000000"/>
                <w:sz w:val="20"/>
                <w:szCs w:val="20"/>
              </w:rPr>
              <w:t>17/18</w:t>
            </w:r>
          </w:p>
        </w:tc>
      </w:tr>
      <w:tr w:rsidR="00D02973" w:rsidRPr="00EA2F26" w:rsidTr="00DF2FAC">
        <w:trPr>
          <w:trHeight w:val="93"/>
        </w:trPr>
        <w:tc>
          <w:tcPr>
            <w:tcW w:w="642" w:type="dxa"/>
            <w:vAlign w:val="center"/>
          </w:tcPr>
          <w:p w:rsidR="00D02973" w:rsidRPr="00EA2F26" w:rsidRDefault="00D02973" w:rsidP="00DF2FAC">
            <w:pPr>
              <w:autoSpaceDE w:val="0"/>
              <w:autoSpaceDN w:val="0"/>
              <w:adjustRightInd w:val="0"/>
              <w:jc w:val="center"/>
              <w:rPr>
                <w:rFonts w:cs="Arial"/>
                <w:sz w:val="20"/>
                <w:szCs w:val="20"/>
              </w:rPr>
            </w:pPr>
            <w:r w:rsidRPr="00EA2F26">
              <w:rPr>
                <w:rFonts w:cs="Arial"/>
                <w:sz w:val="20"/>
                <w:szCs w:val="20"/>
              </w:rPr>
              <w:t>7.</w:t>
            </w:r>
          </w:p>
        </w:tc>
        <w:tc>
          <w:tcPr>
            <w:tcW w:w="5811" w:type="dxa"/>
            <w:vAlign w:val="center"/>
          </w:tcPr>
          <w:p w:rsidR="00D02973" w:rsidRPr="00EA2F26" w:rsidRDefault="00D02973" w:rsidP="00DF2FAC">
            <w:pPr>
              <w:autoSpaceDE w:val="0"/>
              <w:autoSpaceDN w:val="0"/>
              <w:adjustRightInd w:val="0"/>
              <w:rPr>
                <w:rFonts w:cs="Arial"/>
                <w:color w:val="000000"/>
                <w:sz w:val="20"/>
                <w:szCs w:val="20"/>
              </w:rPr>
            </w:pPr>
            <w:r w:rsidRPr="00EA2F26">
              <w:rPr>
                <w:rFonts w:cs="Arial"/>
                <w:color w:val="000000"/>
                <w:sz w:val="20"/>
                <w:szCs w:val="20"/>
              </w:rPr>
              <w:t>Identify areas and develop a strategy for the rejuvenation or renewal of garden beds and turf in Parks that are not meeting expected level of service requirements.</w:t>
            </w:r>
          </w:p>
        </w:tc>
        <w:tc>
          <w:tcPr>
            <w:tcW w:w="1418" w:type="dxa"/>
            <w:vAlign w:val="center"/>
          </w:tcPr>
          <w:p w:rsidR="00D02973" w:rsidRPr="00EA2F26" w:rsidRDefault="00D02973" w:rsidP="00DF2FAC">
            <w:pPr>
              <w:autoSpaceDE w:val="0"/>
              <w:autoSpaceDN w:val="0"/>
              <w:adjustRightInd w:val="0"/>
              <w:jc w:val="center"/>
              <w:rPr>
                <w:rFonts w:cs="Arial"/>
                <w:color w:val="000000"/>
                <w:sz w:val="20"/>
                <w:szCs w:val="20"/>
              </w:rPr>
            </w:pPr>
            <w:r w:rsidRPr="00EA2F26">
              <w:rPr>
                <w:rFonts w:cs="Arial"/>
                <w:color w:val="000000"/>
                <w:sz w:val="20"/>
                <w:szCs w:val="20"/>
              </w:rPr>
              <w:t>ESOS</w:t>
            </w:r>
          </w:p>
          <w:p w:rsidR="00D02973" w:rsidRPr="00EA2F26" w:rsidRDefault="00D02973" w:rsidP="00DF2FAC">
            <w:pPr>
              <w:autoSpaceDE w:val="0"/>
              <w:autoSpaceDN w:val="0"/>
              <w:adjustRightInd w:val="0"/>
              <w:jc w:val="center"/>
              <w:rPr>
                <w:rFonts w:cs="Arial"/>
                <w:color w:val="000000"/>
                <w:sz w:val="20"/>
                <w:szCs w:val="20"/>
              </w:rPr>
            </w:pPr>
            <w:r w:rsidRPr="00EA2F26">
              <w:rPr>
                <w:rFonts w:cs="Calibri"/>
                <w:sz w:val="20"/>
                <w:szCs w:val="20"/>
                <w:lang w:eastAsia="en-AU"/>
              </w:rPr>
              <w:t>Coordinator Asset Management</w:t>
            </w:r>
          </w:p>
        </w:tc>
        <w:tc>
          <w:tcPr>
            <w:tcW w:w="850" w:type="dxa"/>
            <w:vAlign w:val="center"/>
          </w:tcPr>
          <w:p w:rsidR="00D02973" w:rsidRPr="00EA2F26" w:rsidRDefault="00D02973" w:rsidP="00DF2FAC">
            <w:pPr>
              <w:autoSpaceDE w:val="0"/>
              <w:autoSpaceDN w:val="0"/>
              <w:adjustRightInd w:val="0"/>
              <w:jc w:val="center"/>
              <w:rPr>
                <w:rFonts w:cs="Arial"/>
                <w:color w:val="000000"/>
                <w:sz w:val="20"/>
                <w:szCs w:val="20"/>
              </w:rPr>
            </w:pPr>
            <w:r w:rsidRPr="00EA2F26">
              <w:rPr>
                <w:rFonts w:cs="Arial"/>
                <w:color w:val="000000"/>
                <w:sz w:val="20"/>
                <w:szCs w:val="20"/>
              </w:rPr>
              <w:t>Medium</w:t>
            </w:r>
          </w:p>
        </w:tc>
        <w:tc>
          <w:tcPr>
            <w:tcW w:w="1276" w:type="dxa"/>
            <w:vAlign w:val="center"/>
          </w:tcPr>
          <w:p w:rsidR="00D02973" w:rsidRPr="00EA2F26" w:rsidRDefault="00D02973" w:rsidP="00DF2FAC">
            <w:pPr>
              <w:autoSpaceDE w:val="0"/>
              <w:autoSpaceDN w:val="0"/>
              <w:adjustRightInd w:val="0"/>
              <w:jc w:val="center"/>
              <w:rPr>
                <w:rFonts w:cs="Arial"/>
                <w:color w:val="000000"/>
                <w:sz w:val="20"/>
                <w:szCs w:val="20"/>
              </w:rPr>
            </w:pPr>
            <w:r w:rsidRPr="00EA2F26">
              <w:rPr>
                <w:rFonts w:cs="Arial"/>
                <w:color w:val="000000"/>
                <w:sz w:val="20"/>
                <w:szCs w:val="20"/>
              </w:rPr>
              <w:t>17/18</w:t>
            </w:r>
          </w:p>
        </w:tc>
      </w:tr>
      <w:tr w:rsidR="00D02973" w:rsidRPr="00EA2F26" w:rsidTr="00DF2FAC">
        <w:trPr>
          <w:trHeight w:val="322"/>
        </w:trPr>
        <w:tc>
          <w:tcPr>
            <w:tcW w:w="642" w:type="dxa"/>
            <w:vAlign w:val="center"/>
          </w:tcPr>
          <w:p w:rsidR="00D02973" w:rsidRPr="00EA2F26" w:rsidRDefault="00D02973" w:rsidP="00DF2FAC">
            <w:pPr>
              <w:autoSpaceDE w:val="0"/>
              <w:autoSpaceDN w:val="0"/>
              <w:adjustRightInd w:val="0"/>
              <w:jc w:val="center"/>
              <w:rPr>
                <w:rFonts w:cs="Arial"/>
                <w:sz w:val="20"/>
                <w:szCs w:val="20"/>
              </w:rPr>
            </w:pPr>
            <w:r w:rsidRPr="00EA2F26">
              <w:rPr>
                <w:rFonts w:cs="Arial"/>
                <w:sz w:val="20"/>
                <w:szCs w:val="20"/>
              </w:rPr>
              <w:t>8.</w:t>
            </w:r>
          </w:p>
        </w:tc>
        <w:tc>
          <w:tcPr>
            <w:tcW w:w="5811" w:type="dxa"/>
            <w:vAlign w:val="center"/>
          </w:tcPr>
          <w:p w:rsidR="00D02973" w:rsidRPr="00EA2F26" w:rsidRDefault="00D02973" w:rsidP="00DF2FAC">
            <w:pPr>
              <w:autoSpaceDE w:val="0"/>
              <w:autoSpaceDN w:val="0"/>
              <w:adjustRightInd w:val="0"/>
              <w:rPr>
                <w:rFonts w:cs="Arial"/>
                <w:color w:val="000000"/>
                <w:sz w:val="20"/>
                <w:szCs w:val="20"/>
              </w:rPr>
            </w:pPr>
            <w:r w:rsidRPr="00EA2F26">
              <w:rPr>
                <w:rFonts w:cs="Arial"/>
                <w:color w:val="000000"/>
                <w:sz w:val="20"/>
                <w:szCs w:val="20"/>
              </w:rPr>
              <w:t>Undertake an audit and condition assessment of structural infrastructure such as sea wall etc. along foreshore reserves and review lifecycle renewal implications</w:t>
            </w:r>
          </w:p>
          <w:p w:rsidR="00D02973" w:rsidRPr="00EA2F26" w:rsidRDefault="00D02973" w:rsidP="00DF2FAC">
            <w:pPr>
              <w:autoSpaceDE w:val="0"/>
              <w:autoSpaceDN w:val="0"/>
              <w:adjustRightInd w:val="0"/>
              <w:rPr>
                <w:rFonts w:cs="Arial"/>
                <w:color w:val="000000"/>
                <w:sz w:val="20"/>
                <w:szCs w:val="20"/>
              </w:rPr>
            </w:pPr>
          </w:p>
        </w:tc>
        <w:tc>
          <w:tcPr>
            <w:tcW w:w="1418" w:type="dxa"/>
            <w:vAlign w:val="center"/>
          </w:tcPr>
          <w:p w:rsidR="00D02973" w:rsidRPr="00EA2F26" w:rsidRDefault="00D02973" w:rsidP="00DF2FAC">
            <w:pPr>
              <w:autoSpaceDE w:val="0"/>
              <w:autoSpaceDN w:val="0"/>
              <w:adjustRightInd w:val="0"/>
              <w:jc w:val="center"/>
              <w:rPr>
                <w:rFonts w:cs="Arial"/>
                <w:color w:val="000000"/>
                <w:sz w:val="20"/>
                <w:szCs w:val="20"/>
              </w:rPr>
            </w:pPr>
            <w:r w:rsidRPr="00EA2F26">
              <w:rPr>
                <w:rFonts w:cs="Calibri"/>
                <w:sz w:val="20"/>
                <w:szCs w:val="20"/>
                <w:lang w:eastAsia="en-AU"/>
              </w:rPr>
              <w:t>Coordinator Asset Management</w:t>
            </w:r>
          </w:p>
        </w:tc>
        <w:tc>
          <w:tcPr>
            <w:tcW w:w="850" w:type="dxa"/>
            <w:vAlign w:val="center"/>
          </w:tcPr>
          <w:p w:rsidR="00D02973" w:rsidRPr="00EA2F26" w:rsidRDefault="00D02973" w:rsidP="00DF2FAC">
            <w:pPr>
              <w:autoSpaceDE w:val="0"/>
              <w:autoSpaceDN w:val="0"/>
              <w:adjustRightInd w:val="0"/>
              <w:jc w:val="center"/>
              <w:rPr>
                <w:rFonts w:cs="Arial"/>
                <w:color w:val="000000"/>
                <w:sz w:val="20"/>
                <w:szCs w:val="20"/>
              </w:rPr>
            </w:pPr>
            <w:r w:rsidRPr="00EA2F26">
              <w:rPr>
                <w:rFonts w:cs="Arial"/>
                <w:color w:val="000000"/>
                <w:sz w:val="20"/>
                <w:szCs w:val="20"/>
              </w:rPr>
              <w:t>High</w:t>
            </w:r>
          </w:p>
        </w:tc>
        <w:tc>
          <w:tcPr>
            <w:tcW w:w="1276" w:type="dxa"/>
            <w:vAlign w:val="center"/>
          </w:tcPr>
          <w:p w:rsidR="00D02973" w:rsidRPr="00EA2F26" w:rsidRDefault="00D02973" w:rsidP="00DF2FAC">
            <w:pPr>
              <w:autoSpaceDE w:val="0"/>
              <w:autoSpaceDN w:val="0"/>
              <w:adjustRightInd w:val="0"/>
              <w:jc w:val="center"/>
              <w:rPr>
                <w:rFonts w:cs="Arial"/>
                <w:color w:val="000000"/>
                <w:sz w:val="20"/>
                <w:szCs w:val="20"/>
              </w:rPr>
            </w:pPr>
            <w:r w:rsidRPr="00EA2F26">
              <w:rPr>
                <w:rFonts w:cs="Arial"/>
                <w:color w:val="000000"/>
                <w:sz w:val="20"/>
                <w:szCs w:val="20"/>
              </w:rPr>
              <w:t>16/17</w:t>
            </w:r>
          </w:p>
        </w:tc>
      </w:tr>
      <w:tr w:rsidR="00D02973" w:rsidRPr="00EA2F26" w:rsidTr="00DF2FAC">
        <w:trPr>
          <w:trHeight w:val="323"/>
        </w:trPr>
        <w:tc>
          <w:tcPr>
            <w:tcW w:w="642" w:type="dxa"/>
            <w:vAlign w:val="center"/>
          </w:tcPr>
          <w:p w:rsidR="00D02973" w:rsidRPr="00EA2F26" w:rsidRDefault="00D02973" w:rsidP="00DF2FAC">
            <w:pPr>
              <w:autoSpaceDE w:val="0"/>
              <w:autoSpaceDN w:val="0"/>
              <w:adjustRightInd w:val="0"/>
              <w:jc w:val="center"/>
              <w:rPr>
                <w:rFonts w:cs="Arial"/>
                <w:sz w:val="20"/>
                <w:szCs w:val="20"/>
              </w:rPr>
            </w:pPr>
            <w:r w:rsidRPr="00EA2F26">
              <w:rPr>
                <w:rFonts w:cs="Arial"/>
                <w:sz w:val="20"/>
                <w:szCs w:val="20"/>
              </w:rPr>
              <w:t>9.</w:t>
            </w:r>
          </w:p>
        </w:tc>
        <w:tc>
          <w:tcPr>
            <w:tcW w:w="5811" w:type="dxa"/>
            <w:vAlign w:val="center"/>
          </w:tcPr>
          <w:p w:rsidR="00D02973" w:rsidRPr="00EA2F26" w:rsidRDefault="00D02973" w:rsidP="00DF2FAC">
            <w:pPr>
              <w:autoSpaceDE w:val="0"/>
              <w:autoSpaceDN w:val="0"/>
              <w:adjustRightInd w:val="0"/>
              <w:rPr>
                <w:rFonts w:cs="Arial"/>
                <w:color w:val="000000"/>
                <w:sz w:val="20"/>
                <w:szCs w:val="20"/>
              </w:rPr>
            </w:pPr>
            <w:r w:rsidRPr="00EA2F26">
              <w:rPr>
                <w:rFonts w:cs="Arial"/>
                <w:color w:val="000000"/>
                <w:sz w:val="20"/>
                <w:szCs w:val="20"/>
              </w:rPr>
              <w:t>Develop and document a condition assessment methodology for recreation and open space assets to ensure accuracy and repeatability of condition scoring</w:t>
            </w:r>
          </w:p>
          <w:p w:rsidR="00D02973" w:rsidRPr="00EA2F26" w:rsidRDefault="00D02973" w:rsidP="00DF2FAC">
            <w:pPr>
              <w:autoSpaceDE w:val="0"/>
              <w:autoSpaceDN w:val="0"/>
              <w:adjustRightInd w:val="0"/>
              <w:rPr>
                <w:rFonts w:cs="Arial"/>
                <w:color w:val="000000"/>
                <w:sz w:val="20"/>
                <w:szCs w:val="20"/>
              </w:rPr>
            </w:pPr>
          </w:p>
        </w:tc>
        <w:tc>
          <w:tcPr>
            <w:tcW w:w="1418" w:type="dxa"/>
            <w:vAlign w:val="center"/>
          </w:tcPr>
          <w:p w:rsidR="00D02973" w:rsidRPr="00EA2F26" w:rsidRDefault="00D02973" w:rsidP="00DF2FAC">
            <w:pPr>
              <w:autoSpaceDE w:val="0"/>
              <w:autoSpaceDN w:val="0"/>
              <w:adjustRightInd w:val="0"/>
              <w:jc w:val="center"/>
              <w:rPr>
                <w:rFonts w:cs="Arial"/>
                <w:color w:val="000000"/>
                <w:sz w:val="20"/>
                <w:szCs w:val="20"/>
              </w:rPr>
            </w:pPr>
            <w:r w:rsidRPr="00EA2F26">
              <w:rPr>
                <w:rFonts w:cs="Calibri"/>
                <w:sz w:val="20"/>
                <w:szCs w:val="20"/>
                <w:lang w:eastAsia="en-AU"/>
              </w:rPr>
              <w:t>Coordinator Asset Management</w:t>
            </w:r>
          </w:p>
        </w:tc>
        <w:tc>
          <w:tcPr>
            <w:tcW w:w="850" w:type="dxa"/>
            <w:vAlign w:val="center"/>
          </w:tcPr>
          <w:p w:rsidR="00D02973" w:rsidRPr="00EA2F26" w:rsidRDefault="00D02973" w:rsidP="00DF2FAC">
            <w:pPr>
              <w:autoSpaceDE w:val="0"/>
              <w:autoSpaceDN w:val="0"/>
              <w:adjustRightInd w:val="0"/>
              <w:jc w:val="center"/>
              <w:rPr>
                <w:rFonts w:cs="Arial"/>
                <w:color w:val="000000"/>
                <w:sz w:val="20"/>
                <w:szCs w:val="20"/>
              </w:rPr>
            </w:pPr>
            <w:r w:rsidRPr="00EA2F26">
              <w:rPr>
                <w:rFonts w:cs="Arial"/>
                <w:color w:val="000000"/>
                <w:sz w:val="20"/>
                <w:szCs w:val="20"/>
              </w:rPr>
              <w:t>Medium</w:t>
            </w:r>
          </w:p>
        </w:tc>
        <w:tc>
          <w:tcPr>
            <w:tcW w:w="1276" w:type="dxa"/>
            <w:vAlign w:val="center"/>
          </w:tcPr>
          <w:p w:rsidR="00D02973" w:rsidRPr="00EA2F26" w:rsidRDefault="00D02973" w:rsidP="00DF2FAC">
            <w:pPr>
              <w:autoSpaceDE w:val="0"/>
              <w:autoSpaceDN w:val="0"/>
              <w:adjustRightInd w:val="0"/>
              <w:jc w:val="center"/>
              <w:rPr>
                <w:rFonts w:cs="Arial"/>
                <w:color w:val="000000"/>
                <w:sz w:val="20"/>
                <w:szCs w:val="20"/>
              </w:rPr>
            </w:pPr>
            <w:r w:rsidRPr="00EA2F26">
              <w:rPr>
                <w:rFonts w:cs="Arial"/>
                <w:color w:val="000000"/>
                <w:sz w:val="20"/>
                <w:szCs w:val="20"/>
              </w:rPr>
              <w:t>16/17</w:t>
            </w:r>
          </w:p>
        </w:tc>
      </w:tr>
      <w:tr w:rsidR="00D02973" w:rsidRPr="00EA2F26" w:rsidTr="00DF2FAC">
        <w:trPr>
          <w:trHeight w:val="322"/>
        </w:trPr>
        <w:tc>
          <w:tcPr>
            <w:tcW w:w="642" w:type="dxa"/>
            <w:vAlign w:val="center"/>
          </w:tcPr>
          <w:p w:rsidR="00D02973" w:rsidRPr="00EA2F26" w:rsidRDefault="00D02973" w:rsidP="00DF2FAC">
            <w:pPr>
              <w:autoSpaceDE w:val="0"/>
              <w:autoSpaceDN w:val="0"/>
              <w:adjustRightInd w:val="0"/>
              <w:jc w:val="center"/>
              <w:rPr>
                <w:rFonts w:cs="Arial"/>
                <w:sz w:val="20"/>
                <w:szCs w:val="20"/>
              </w:rPr>
            </w:pPr>
            <w:r w:rsidRPr="00EA2F26">
              <w:rPr>
                <w:rFonts w:cs="Arial"/>
                <w:sz w:val="20"/>
                <w:szCs w:val="20"/>
              </w:rPr>
              <w:t>10.</w:t>
            </w:r>
          </w:p>
        </w:tc>
        <w:tc>
          <w:tcPr>
            <w:tcW w:w="5811" w:type="dxa"/>
            <w:vAlign w:val="center"/>
          </w:tcPr>
          <w:p w:rsidR="00D02973" w:rsidRPr="00EA2F26" w:rsidRDefault="00D02973" w:rsidP="00DF2FAC">
            <w:pPr>
              <w:autoSpaceDE w:val="0"/>
              <w:autoSpaceDN w:val="0"/>
              <w:adjustRightInd w:val="0"/>
              <w:rPr>
                <w:rFonts w:cs="Arial"/>
                <w:color w:val="000000"/>
                <w:sz w:val="20"/>
                <w:szCs w:val="20"/>
              </w:rPr>
            </w:pPr>
            <w:r w:rsidRPr="00EA2F26">
              <w:rPr>
                <w:rFonts w:cs="Arial"/>
                <w:color w:val="000000"/>
                <w:sz w:val="20"/>
                <w:szCs w:val="20"/>
              </w:rPr>
              <w:t>Review recreation and open spaces contract specification and update to include any outstanding asset management issues at least six months prior to tendering.</w:t>
            </w:r>
          </w:p>
        </w:tc>
        <w:tc>
          <w:tcPr>
            <w:tcW w:w="1418" w:type="dxa"/>
            <w:vAlign w:val="center"/>
          </w:tcPr>
          <w:p w:rsidR="00D02973" w:rsidRPr="00EA2F26" w:rsidRDefault="00D02973" w:rsidP="00DF2FAC">
            <w:pPr>
              <w:autoSpaceDE w:val="0"/>
              <w:autoSpaceDN w:val="0"/>
              <w:adjustRightInd w:val="0"/>
              <w:jc w:val="center"/>
              <w:rPr>
                <w:rFonts w:cs="Arial"/>
                <w:color w:val="000000"/>
                <w:sz w:val="20"/>
                <w:szCs w:val="20"/>
              </w:rPr>
            </w:pPr>
            <w:r w:rsidRPr="00EA2F26">
              <w:rPr>
                <w:rFonts w:cs="Calibri"/>
                <w:sz w:val="20"/>
                <w:szCs w:val="20"/>
                <w:lang w:eastAsia="en-AU"/>
              </w:rPr>
              <w:t>Coordinator Asset Management</w:t>
            </w:r>
          </w:p>
        </w:tc>
        <w:tc>
          <w:tcPr>
            <w:tcW w:w="850" w:type="dxa"/>
            <w:vAlign w:val="center"/>
          </w:tcPr>
          <w:p w:rsidR="00D02973" w:rsidRPr="00EA2F26" w:rsidRDefault="00D02973" w:rsidP="00DF2FAC">
            <w:pPr>
              <w:autoSpaceDE w:val="0"/>
              <w:autoSpaceDN w:val="0"/>
              <w:adjustRightInd w:val="0"/>
              <w:jc w:val="center"/>
              <w:rPr>
                <w:rFonts w:cs="Arial"/>
                <w:color w:val="000000"/>
                <w:sz w:val="20"/>
                <w:szCs w:val="20"/>
              </w:rPr>
            </w:pPr>
            <w:r w:rsidRPr="00EA2F26">
              <w:rPr>
                <w:rFonts w:cs="Arial"/>
                <w:color w:val="000000"/>
                <w:sz w:val="20"/>
                <w:szCs w:val="20"/>
              </w:rPr>
              <w:t>Medium</w:t>
            </w:r>
          </w:p>
        </w:tc>
        <w:tc>
          <w:tcPr>
            <w:tcW w:w="1276" w:type="dxa"/>
            <w:vAlign w:val="center"/>
          </w:tcPr>
          <w:p w:rsidR="00D02973" w:rsidRPr="00EA2F26" w:rsidRDefault="00D02973" w:rsidP="00DF2FAC">
            <w:pPr>
              <w:autoSpaceDE w:val="0"/>
              <w:autoSpaceDN w:val="0"/>
              <w:adjustRightInd w:val="0"/>
              <w:jc w:val="center"/>
              <w:rPr>
                <w:rFonts w:cs="Arial"/>
                <w:color w:val="000000"/>
                <w:sz w:val="20"/>
                <w:szCs w:val="20"/>
              </w:rPr>
            </w:pPr>
            <w:r w:rsidRPr="00EA2F26">
              <w:rPr>
                <w:rFonts w:cs="Arial"/>
                <w:color w:val="000000"/>
                <w:sz w:val="20"/>
                <w:szCs w:val="20"/>
              </w:rPr>
              <w:t>16/17</w:t>
            </w:r>
          </w:p>
        </w:tc>
      </w:tr>
      <w:tr w:rsidR="00D02973" w:rsidRPr="00EA2F26" w:rsidTr="00DF2FAC">
        <w:trPr>
          <w:trHeight w:val="322"/>
        </w:trPr>
        <w:tc>
          <w:tcPr>
            <w:tcW w:w="642" w:type="dxa"/>
            <w:vAlign w:val="center"/>
          </w:tcPr>
          <w:p w:rsidR="00D02973" w:rsidRPr="00EA2F26" w:rsidRDefault="00D02973" w:rsidP="00DF2FAC">
            <w:pPr>
              <w:autoSpaceDE w:val="0"/>
              <w:autoSpaceDN w:val="0"/>
              <w:adjustRightInd w:val="0"/>
              <w:jc w:val="center"/>
              <w:rPr>
                <w:rFonts w:cs="Arial"/>
                <w:sz w:val="20"/>
                <w:szCs w:val="20"/>
              </w:rPr>
            </w:pPr>
            <w:r>
              <w:rPr>
                <w:rFonts w:cs="Arial"/>
                <w:sz w:val="20"/>
                <w:szCs w:val="20"/>
              </w:rPr>
              <w:t>11</w:t>
            </w:r>
          </w:p>
        </w:tc>
        <w:tc>
          <w:tcPr>
            <w:tcW w:w="5811" w:type="dxa"/>
            <w:vAlign w:val="center"/>
          </w:tcPr>
          <w:p w:rsidR="00D02973" w:rsidRPr="00EA2F26" w:rsidRDefault="00D02973" w:rsidP="00DF2FAC">
            <w:pPr>
              <w:autoSpaceDE w:val="0"/>
              <w:autoSpaceDN w:val="0"/>
              <w:adjustRightInd w:val="0"/>
              <w:rPr>
                <w:rFonts w:cs="Arial"/>
                <w:color w:val="000000"/>
                <w:sz w:val="20"/>
                <w:szCs w:val="20"/>
              </w:rPr>
            </w:pPr>
            <w:r>
              <w:rPr>
                <w:rFonts w:cs="Arial"/>
                <w:color w:val="000000"/>
                <w:sz w:val="20"/>
                <w:szCs w:val="20"/>
              </w:rPr>
              <w:t>Determine the replacement of trees within renewal model of R&amp;OS-AMP</w:t>
            </w:r>
          </w:p>
        </w:tc>
        <w:tc>
          <w:tcPr>
            <w:tcW w:w="1418" w:type="dxa"/>
            <w:vAlign w:val="center"/>
          </w:tcPr>
          <w:p w:rsidR="00D02973" w:rsidRPr="00EA2F26" w:rsidRDefault="00D02973" w:rsidP="00DF2FAC">
            <w:pPr>
              <w:autoSpaceDE w:val="0"/>
              <w:autoSpaceDN w:val="0"/>
              <w:adjustRightInd w:val="0"/>
              <w:jc w:val="center"/>
              <w:rPr>
                <w:rFonts w:cs="Calibri"/>
                <w:sz w:val="20"/>
                <w:szCs w:val="20"/>
                <w:lang w:eastAsia="en-AU"/>
              </w:rPr>
            </w:pPr>
            <w:r w:rsidRPr="00EA2F26">
              <w:rPr>
                <w:rFonts w:cs="Calibri"/>
                <w:sz w:val="20"/>
                <w:szCs w:val="20"/>
                <w:lang w:eastAsia="en-AU"/>
              </w:rPr>
              <w:t>Coordinator Asset Management</w:t>
            </w:r>
          </w:p>
        </w:tc>
        <w:tc>
          <w:tcPr>
            <w:tcW w:w="850" w:type="dxa"/>
            <w:vAlign w:val="center"/>
          </w:tcPr>
          <w:p w:rsidR="00D02973" w:rsidRPr="00EA2F26" w:rsidRDefault="00D02973" w:rsidP="00DF2FAC">
            <w:pPr>
              <w:autoSpaceDE w:val="0"/>
              <w:autoSpaceDN w:val="0"/>
              <w:adjustRightInd w:val="0"/>
              <w:jc w:val="center"/>
              <w:rPr>
                <w:rFonts w:cs="Arial"/>
                <w:color w:val="000000"/>
                <w:sz w:val="20"/>
                <w:szCs w:val="20"/>
              </w:rPr>
            </w:pPr>
            <w:r>
              <w:rPr>
                <w:rFonts w:cs="Arial"/>
                <w:color w:val="000000"/>
                <w:sz w:val="20"/>
                <w:szCs w:val="20"/>
              </w:rPr>
              <w:t>Medium</w:t>
            </w:r>
          </w:p>
        </w:tc>
        <w:tc>
          <w:tcPr>
            <w:tcW w:w="1276" w:type="dxa"/>
            <w:vAlign w:val="center"/>
          </w:tcPr>
          <w:p w:rsidR="00D02973" w:rsidRPr="00EA2F26" w:rsidRDefault="00D02973" w:rsidP="00DF2FAC">
            <w:pPr>
              <w:autoSpaceDE w:val="0"/>
              <w:autoSpaceDN w:val="0"/>
              <w:adjustRightInd w:val="0"/>
              <w:jc w:val="center"/>
              <w:rPr>
                <w:rFonts w:cs="Arial"/>
                <w:color w:val="000000"/>
                <w:sz w:val="20"/>
                <w:szCs w:val="20"/>
              </w:rPr>
            </w:pPr>
            <w:r>
              <w:rPr>
                <w:rFonts w:cs="Arial"/>
                <w:color w:val="000000"/>
                <w:sz w:val="20"/>
                <w:szCs w:val="20"/>
              </w:rPr>
              <w:t>17/18</w:t>
            </w:r>
          </w:p>
        </w:tc>
      </w:tr>
      <w:tr w:rsidR="00D02973" w:rsidRPr="00EA2F26" w:rsidTr="00DF2FAC">
        <w:trPr>
          <w:trHeight w:val="322"/>
        </w:trPr>
        <w:tc>
          <w:tcPr>
            <w:tcW w:w="642" w:type="dxa"/>
            <w:vAlign w:val="center"/>
          </w:tcPr>
          <w:p w:rsidR="00D02973" w:rsidRDefault="00D02973" w:rsidP="00DF2FAC">
            <w:pPr>
              <w:autoSpaceDE w:val="0"/>
              <w:autoSpaceDN w:val="0"/>
              <w:adjustRightInd w:val="0"/>
              <w:jc w:val="center"/>
              <w:rPr>
                <w:rFonts w:cs="Arial"/>
                <w:sz w:val="20"/>
                <w:szCs w:val="20"/>
              </w:rPr>
            </w:pPr>
            <w:r>
              <w:rPr>
                <w:rFonts w:cs="Arial"/>
                <w:sz w:val="20"/>
                <w:szCs w:val="20"/>
              </w:rPr>
              <w:t>12</w:t>
            </w:r>
          </w:p>
        </w:tc>
        <w:tc>
          <w:tcPr>
            <w:tcW w:w="5811" w:type="dxa"/>
            <w:vAlign w:val="center"/>
          </w:tcPr>
          <w:p w:rsidR="00D02973" w:rsidRDefault="00D02973" w:rsidP="00DF2FAC">
            <w:pPr>
              <w:autoSpaceDE w:val="0"/>
              <w:autoSpaceDN w:val="0"/>
              <w:adjustRightInd w:val="0"/>
              <w:rPr>
                <w:rFonts w:cs="Arial"/>
                <w:color w:val="000000"/>
                <w:sz w:val="20"/>
                <w:szCs w:val="20"/>
              </w:rPr>
            </w:pPr>
            <w:r w:rsidRPr="009E2302">
              <w:rPr>
                <w:rFonts w:cs="Arial"/>
                <w:color w:val="000000"/>
                <w:sz w:val="20"/>
                <w:szCs w:val="20"/>
              </w:rPr>
              <w:t>The remaining useful lives of all infrastructure associated with various types of open spaces is to be determined and documented</w:t>
            </w:r>
            <w:r>
              <w:rPr>
                <w:rFonts w:cs="Arial"/>
                <w:color w:val="000000"/>
                <w:sz w:val="20"/>
                <w:szCs w:val="20"/>
              </w:rPr>
              <w:t xml:space="preserve"> in this plan</w:t>
            </w:r>
          </w:p>
        </w:tc>
        <w:tc>
          <w:tcPr>
            <w:tcW w:w="1418" w:type="dxa"/>
            <w:vAlign w:val="center"/>
          </w:tcPr>
          <w:p w:rsidR="00D02973" w:rsidRPr="00EA2F26" w:rsidRDefault="00D02973" w:rsidP="00DF2FAC">
            <w:pPr>
              <w:autoSpaceDE w:val="0"/>
              <w:autoSpaceDN w:val="0"/>
              <w:adjustRightInd w:val="0"/>
              <w:jc w:val="center"/>
              <w:rPr>
                <w:rFonts w:cs="Calibri"/>
                <w:sz w:val="20"/>
                <w:szCs w:val="20"/>
                <w:lang w:eastAsia="en-AU"/>
              </w:rPr>
            </w:pPr>
            <w:r w:rsidRPr="00EA2F26">
              <w:rPr>
                <w:rFonts w:cs="Calibri"/>
                <w:sz w:val="20"/>
                <w:szCs w:val="20"/>
                <w:lang w:eastAsia="en-AU"/>
              </w:rPr>
              <w:t>Coordinator Asset Management</w:t>
            </w:r>
          </w:p>
        </w:tc>
        <w:tc>
          <w:tcPr>
            <w:tcW w:w="850" w:type="dxa"/>
            <w:vAlign w:val="center"/>
          </w:tcPr>
          <w:p w:rsidR="00D02973" w:rsidRDefault="00D02973" w:rsidP="00DF2FAC">
            <w:pPr>
              <w:autoSpaceDE w:val="0"/>
              <w:autoSpaceDN w:val="0"/>
              <w:adjustRightInd w:val="0"/>
              <w:jc w:val="center"/>
              <w:rPr>
                <w:rFonts w:cs="Arial"/>
                <w:color w:val="000000"/>
                <w:sz w:val="20"/>
                <w:szCs w:val="20"/>
              </w:rPr>
            </w:pPr>
            <w:r>
              <w:rPr>
                <w:rFonts w:cs="Arial"/>
                <w:color w:val="000000"/>
                <w:sz w:val="20"/>
                <w:szCs w:val="20"/>
              </w:rPr>
              <w:t>Medium</w:t>
            </w:r>
          </w:p>
        </w:tc>
        <w:tc>
          <w:tcPr>
            <w:tcW w:w="1276" w:type="dxa"/>
            <w:vAlign w:val="center"/>
          </w:tcPr>
          <w:p w:rsidR="00D02973" w:rsidRPr="00EA2F26" w:rsidRDefault="00D02973" w:rsidP="00DF2FAC">
            <w:pPr>
              <w:autoSpaceDE w:val="0"/>
              <w:autoSpaceDN w:val="0"/>
              <w:adjustRightInd w:val="0"/>
              <w:jc w:val="center"/>
              <w:rPr>
                <w:rFonts w:cs="Arial"/>
                <w:color w:val="000000"/>
                <w:sz w:val="20"/>
                <w:szCs w:val="20"/>
              </w:rPr>
            </w:pPr>
            <w:r>
              <w:rPr>
                <w:rFonts w:cs="Arial"/>
                <w:color w:val="000000"/>
                <w:sz w:val="20"/>
                <w:szCs w:val="20"/>
              </w:rPr>
              <w:t>17/18 for critical assets (ongoing)</w:t>
            </w:r>
          </w:p>
        </w:tc>
      </w:tr>
    </w:tbl>
    <w:p w:rsidR="00D02973" w:rsidRPr="00EE16D1" w:rsidRDefault="00D02973" w:rsidP="00D02973">
      <w:bookmarkStart w:id="86" w:name="_Toc288653666"/>
      <w:bookmarkStart w:id="87" w:name="_Toc302485201"/>
      <w:bookmarkEnd w:id="83"/>
      <w:bookmarkEnd w:id="84"/>
      <w:bookmarkEnd w:id="85"/>
    </w:p>
    <w:p w:rsidR="00D02973" w:rsidRPr="00DF2FAC" w:rsidRDefault="00D02973" w:rsidP="00D02973">
      <w:pPr>
        <w:pStyle w:val="Heading1"/>
        <w:spacing w:after="200"/>
        <w:rPr>
          <w:rFonts w:asciiTheme="minorHAnsi" w:hAnsiTheme="minorHAnsi"/>
        </w:rPr>
      </w:pPr>
      <w:bookmarkStart w:id="88" w:name="_Toc448475228"/>
      <w:r w:rsidRPr="00DF2FAC">
        <w:rPr>
          <w:rFonts w:asciiTheme="minorHAnsi" w:hAnsiTheme="minorHAnsi"/>
        </w:rPr>
        <w:t xml:space="preserve">8.0 </w:t>
      </w:r>
      <w:r w:rsidRPr="00DF2FAC">
        <w:rPr>
          <w:rFonts w:asciiTheme="minorHAnsi" w:hAnsiTheme="minorHAnsi"/>
        </w:rPr>
        <w:tab/>
        <w:t>Standards, Manuals, Guidelines &amp; Reports</w:t>
      </w:r>
      <w:bookmarkEnd w:id="88"/>
    </w:p>
    <w:p w:rsidR="00D02973" w:rsidRPr="00AA1CC4" w:rsidRDefault="00D02973" w:rsidP="00D02973">
      <w:r w:rsidRPr="00AA1CC4">
        <w:t>Key standards, manuals, guidelines &amp; reports include:</w:t>
      </w:r>
    </w:p>
    <w:p w:rsidR="00D02973" w:rsidRPr="00AA1CC4" w:rsidRDefault="00D02973" w:rsidP="00D02973">
      <w:pPr>
        <w:pStyle w:val="ListParagraph"/>
        <w:numPr>
          <w:ilvl w:val="0"/>
          <w:numId w:val="16"/>
        </w:numPr>
        <w:rPr>
          <w:rFonts w:asciiTheme="minorHAnsi" w:hAnsiTheme="minorHAnsi"/>
        </w:rPr>
      </w:pPr>
      <w:r w:rsidRPr="00AA1CC4">
        <w:rPr>
          <w:rFonts w:asciiTheme="minorHAnsi" w:hAnsiTheme="minorHAnsi"/>
        </w:rPr>
        <w:t>International Infrastructure Management Manual, Version 3.0 - 2006 - Institute of Public Works Engineering Australia (IPWEA)</w:t>
      </w:r>
    </w:p>
    <w:p w:rsidR="00D02973" w:rsidRPr="00AA1CC4" w:rsidRDefault="00D02973" w:rsidP="00D02973">
      <w:pPr>
        <w:pStyle w:val="ListParagraph"/>
        <w:numPr>
          <w:ilvl w:val="0"/>
          <w:numId w:val="16"/>
        </w:numPr>
        <w:rPr>
          <w:rFonts w:asciiTheme="minorHAnsi" w:hAnsiTheme="minorHAnsi"/>
        </w:rPr>
      </w:pPr>
      <w:r w:rsidRPr="00AA1CC4">
        <w:rPr>
          <w:rFonts w:asciiTheme="minorHAnsi" w:hAnsiTheme="minorHAnsi"/>
        </w:rPr>
        <w:t>Australian Infrastructure Financial Management Guidelines, Edition 1.0 - 2009 - IPWEA</w:t>
      </w:r>
    </w:p>
    <w:p w:rsidR="00D02973" w:rsidRPr="00AA1CC4" w:rsidRDefault="00D02973" w:rsidP="00D02973">
      <w:pPr>
        <w:pStyle w:val="ListParagraph"/>
        <w:numPr>
          <w:ilvl w:val="0"/>
          <w:numId w:val="16"/>
        </w:numPr>
        <w:rPr>
          <w:rFonts w:asciiTheme="minorHAnsi" w:hAnsiTheme="minorHAnsi"/>
        </w:rPr>
      </w:pPr>
      <w:r w:rsidRPr="00AA1CC4">
        <w:rPr>
          <w:rFonts w:asciiTheme="minorHAnsi" w:hAnsiTheme="minorHAnsi"/>
        </w:rPr>
        <w:t>Developing Levels of Service Performance Measures (Creating Customer Value from Community Assets) – Version 2.0, NAMS (NZ) 2007</w:t>
      </w:r>
    </w:p>
    <w:p w:rsidR="00D02973" w:rsidRPr="00AA1CC4" w:rsidRDefault="00D02973" w:rsidP="00D02973">
      <w:pPr>
        <w:pStyle w:val="ListParagraph"/>
        <w:numPr>
          <w:ilvl w:val="0"/>
          <w:numId w:val="16"/>
        </w:numPr>
        <w:rPr>
          <w:rFonts w:asciiTheme="minorHAnsi" w:hAnsiTheme="minorHAnsi"/>
        </w:rPr>
      </w:pPr>
      <w:r w:rsidRPr="00AA1CC4">
        <w:rPr>
          <w:rFonts w:asciiTheme="minorHAnsi" w:hAnsiTheme="minorHAnsi"/>
        </w:rPr>
        <w:t>Sustaining Local Assets – Policy Statement 2003, DVC</w:t>
      </w:r>
    </w:p>
    <w:p w:rsidR="00D02973" w:rsidRPr="00AA1CC4" w:rsidRDefault="00D02973" w:rsidP="00D02973">
      <w:pPr>
        <w:pStyle w:val="ListParagraph"/>
        <w:numPr>
          <w:ilvl w:val="0"/>
          <w:numId w:val="16"/>
        </w:numPr>
        <w:rPr>
          <w:rFonts w:asciiTheme="minorHAnsi" w:hAnsiTheme="minorHAnsi"/>
        </w:rPr>
      </w:pPr>
      <w:r w:rsidRPr="00AA1CC4">
        <w:rPr>
          <w:rFonts w:asciiTheme="minorHAnsi" w:hAnsiTheme="minorHAnsi"/>
        </w:rPr>
        <w:t>Accounting for Infrastructure Assets – Guidelines 2003, DVC</w:t>
      </w:r>
    </w:p>
    <w:p w:rsidR="00D02973" w:rsidRPr="00AA1CC4" w:rsidRDefault="00D02973" w:rsidP="00D02973">
      <w:pPr>
        <w:pStyle w:val="ListParagraph"/>
        <w:numPr>
          <w:ilvl w:val="0"/>
          <w:numId w:val="16"/>
        </w:numPr>
        <w:rPr>
          <w:rFonts w:asciiTheme="minorHAnsi" w:hAnsiTheme="minorHAnsi"/>
        </w:rPr>
      </w:pPr>
      <w:r w:rsidRPr="00AA1CC4">
        <w:rPr>
          <w:rFonts w:asciiTheme="minorHAnsi" w:hAnsiTheme="minorHAnsi"/>
        </w:rPr>
        <w:t>Australian Accounting Standard AAS27</w:t>
      </w:r>
    </w:p>
    <w:p w:rsidR="00D02973" w:rsidRPr="00AA1CC4" w:rsidRDefault="00D02973" w:rsidP="00D02973">
      <w:pPr>
        <w:pStyle w:val="ListParagraph"/>
        <w:numPr>
          <w:ilvl w:val="0"/>
          <w:numId w:val="16"/>
        </w:numPr>
        <w:rPr>
          <w:rFonts w:asciiTheme="minorHAnsi" w:hAnsiTheme="minorHAnsi"/>
        </w:rPr>
      </w:pPr>
      <w:r w:rsidRPr="00AA1CC4">
        <w:rPr>
          <w:rFonts w:asciiTheme="minorHAnsi" w:hAnsiTheme="minorHAnsi"/>
        </w:rPr>
        <w:t>MAV Asset Management Improvement STEP Program – Asset Management Plan Framework 2004.</w:t>
      </w:r>
    </w:p>
    <w:p w:rsidR="00D02973" w:rsidRPr="00AA1CC4" w:rsidRDefault="00D02973" w:rsidP="00D02973">
      <w:pPr>
        <w:pStyle w:val="ListParagraph"/>
        <w:numPr>
          <w:ilvl w:val="0"/>
          <w:numId w:val="16"/>
        </w:numPr>
        <w:rPr>
          <w:rFonts w:asciiTheme="minorHAnsi" w:hAnsiTheme="minorHAnsi"/>
        </w:rPr>
      </w:pPr>
      <w:r w:rsidRPr="00AA1CC4">
        <w:rPr>
          <w:rFonts w:asciiTheme="minorHAnsi" w:hAnsiTheme="minorHAnsi"/>
        </w:rPr>
        <w:t>Asset Management Procedure Manual – Department of Infrastructure, Government of Victoria, May 1999.</w:t>
      </w:r>
    </w:p>
    <w:p w:rsidR="00D02973" w:rsidRPr="00AA1CC4" w:rsidRDefault="00D02973" w:rsidP="00D02973">
      <w:pPr>
        <w:pStyle w:val="ListParagraph"/>
        <w:numPr>
          <w:ilvl w:val="0"/>
          <w:numId w:val="16"/>
        </w:numPr>
        <w:rPr>
          <w:rFonts w:asciiTheme="minorHAnsi" w:hAnsiTheme="minorHAnsi"/>
        </w:rPr>
      </w:pPr>
      <w:r w:rsidRPr="00AA1CC4">
        <w:rPr>
          <w:rFonts w:asciiTheme="minorHAnsi" w:hAnsiTheme="minorHAnsi"/>
        </w:rPr>
        <w:t>City of Bayside, 2011, Council Community Engagement Policy 11 October 2011</w:t>
      </w:r>
    </w:p>
    <w:p w:rsidR="00D02973" w:rsidRPr="00AA1CC4" w:rsidRDefault="00D02973" w:rsidP="00D02973">
      <w:pPr>
        <w:pStyle w:val="ListParagraph"/>
        <w:numPr>
          <w:ilvl w:val="0"/>
          <w:numId w:val="16"/>
        </w:numPr>
        <w:rPr>
          <w:rFonts w:asciiTheme="minorHAnsi" w:hAnsiTheme="minorHAnsi"/>
        </w:rPr>
      </w:pPr>
      <w:r w:rsidRPr="00AA1CC4">
        <w:rPr>
          <w:rFonts w:asciiTheme="minorHAnsi" w:hAnsiTheme="minorHAnsi"/>
        </w:rPr>
        <w:t>Pruning of Amenity Trees, AS 4373-2007, Australian Standards</w:t>
      </w:r>
    </w:p>
    <w:p w:rsidR="00D02973" w:rsidRPr="00AA1CC4" w:rsidRDefault="00D02973" w:rsidP="00D02973">
      <w:pPr>
        <w:pStyle w:val="ListParagraph"/>
        <w:numPr>
          <w:ilvl w:val="0"/>
          <w:numId w:val="16"/>
        </w:numPr>
        <w:rPr>
          <w:rFonts w:asciiTheme="minorHAnsi" w:hAnsiTheme="minorHAnsi"/>
        </w:rPr>
      </w:pPr>
      <w:r w:rsidRPr="00AA1CC4">
        <w:rPr>
          <w:rFonts w:asciiTheme="minorHAnsi" w:hAnsiTheme="minorHAnsi"/>
        </w:rPr>
        <w:t>Protection of Trees on Development Sites, AS 4970-2009, Australian Standards</w:t>
      </w:r>
    </w:p>
    <w:p w:rsidR="00D02973" w:rsidRPr="00AA1CC4" w:rsidRDefault="00D02973" w:rsidP="00D02973">
      <w:pPr>
        <w:pStyle w:val="ListParagraph"/>
        <w:numPr>
          <w:ilvl w:val="0"/>
          <w:numId w:val="16"/>
        </w:numPr>
        <w:rPr>
          <w:rFonts w:asciiTheme="minorHAnsi" w:hAnsiTheme="minorHAnsi"/>
        </w:rPr>
      </w:pPr>
      <w:r w:rsidRPr="00AA1CC4">
        <w:rPr>
          <w:rFonts w:asciiTheme="minorHAnsi" w:hAnsiTheme="minorHAnsi"/>
        </w:rPr>
        <w:t>Tree Stock for Landscape Use, AS 2303-2015, Australian Standards</w:t>
      </w:r>
    </w:p>
    <w:p w:rsidR="00D02973" w:rsidRPr="00AA1CC4" w:rsidRDefault="00D02973" w:rsidP="00D02973">
      <w:pPr>
        <w:pStyle w:val="ListParagraph"/>
        <w:numPr>
          <w:ilvl w:val="0"/>
          <w:numId w:val="16"/>
        </w:numPr>
        <w:rPr>
          <w:rFonts w:asciiTheme="minorHAnsi" w:hAnsiTheme="minorHAnsi"/>
        </w:rPr>
      </w:pPr>
      <w:r w:rsidRPr="00AA1CC4">
        <w:rPr>
          <w:rFonts w:asciiTheme="minorHAnsi" w:hAnsiTheme="minorHAnsi"/>
        </w:rPr>
        <w:t>The Electricity Safety Act 1998, Victorian Government</w:t>
      </w:r>
    </w:p>
    <w:p w:rsidR="00D02973" w:rsidRPr="00AA1CC4" w:rsidRDefault="00D02973" w:rsidP="00D02973">
      <w:pPr>
        <w:pStyle w:val="ListParagraph"/>
        <w:numPr>
          <w:ilvl w:val="0"/>
          <w:numId w:val="16"/>
        </w:numPr>
        <w:rPr>
          <w:rFonts w:asciiTheme="minorHAnsi" w:hAnsiTheme="minorHAnsi"/>
        </w:rPr>
      </w:pPr>
      <w:r w:rsidRPr="00AA1CC4">
        <w:rPr>
          <w:rFonts w:asciiTheme="minorHAnsi" w:hAnsiTheme="minorHAnsi"/>
        </w:rPr>
        <w:t>Electricity Safety (Electric Line Clearance) Regulations 2015, Victorian Government</w:t>
      </w:r>
    </w:p>
    <w:p w:rsidR="00D02973" w:rsidRPr="00AA1CC4" w:rsidRDefault="00D02973" w:rsidP="00D02973">
      <w:pPr>
        <w:pStyle w:val="ListParagraph"/>
        <w:numPr>
          <w:ilvl w:val="0"/>
          <w:numId w:val="16"/>
        </w:numPr>
        <w:rPr>
          <w:rFonts w:asciiTheme="minorHAnsi" w:hAnsiTheme="minorHAnsi"/>
        </w:rPr>
      </w:pPr>
      <w:r w:rsidRPr="00AA1CC4">
        <w:rPr>
          <w:rFonts w:asciiTheme="minorHAnsi" w:hAnsiTheme="minorHAnsi"/>
        </w:rPr>
        <w:t>Code of Practice, VicRoads</w:t>
      </w:r>
    </w:p>
    <w:p w:rsidR="00D02973" w:rsidRDefault="00D02973" w:rsidP="00D02973"/>
    <w:p w:rsidR="00D02973" w:rsidRPr="00EA4B2C" w:rsidRDefault="00D02973" w:rsidP="00D02973">
      <w:pPr>
        <w:pStyle w:val="ListParagraph"/>
      </w:pPr>
    </w:p>
    <w:p w:rsidR="00D02973" w:rsidRPr="00DF2FAC" w:rsidRDefault="00D02973" w:rsidP="00D02973">
      <w:pPr>
        <w:pStyle w:val="Heading1"/>
      </w:pPr>
      <w:bookmarkStart w:id="89" w:name="_Toc448475229"/>
      <w:r w:rsidRPr="00DF2FAC">
        <w:t xml:space="preserve">9.0 </w:t>
      </w:r>
      <w:r w:rsidRPr="00DF2FAC">
        <w:tab/>
        <w:t>Reference Documents</w:t>
      </w:r>
      <w:bookmarkEnd w:id="89"/>
    </w:p>
    <w:p w:rsidR="00D02973" w:rsidRPr="00A53997" w:rsidRDefault="00D02973" w:rsidP="00D02973"/>
    <w:p w:rsidR="00D02973" w:rsidRDefault="00D02973" w:rsidP="00D02973">
      <w:pPr>
        <w:pStyle w:val="ListParagraph"/>
        <w:numPr>
          <w:ilvl w:val="0"/>
          <w:numId w:val="46"/>
        </w:numPr>
        <w:rPr>
          <w:rFonts w:eastAsiaTheme="majorEastAsia" w:cstheme="majorBidi"/>
          <w:bCs/>
        </w:rPr>
      </w:pPr>
      <w:r w:rsidRPr="00EA2F26">
        <w:rPr>
          <w:rFonts w:eastAsiaTheme="majorEastAsia" w:cstheme="majorBidi"/>
          <w:bCs/>
        </w:rPr>
        <w:t xml:space="preserve">Bayside Asset </w:t>
      </w:r>
      <w:r w:rsidRPr="00EA4B2C">
        <w:t>Management</w:t>
      </w:r>
      <w:r w:rsidRPr="00EA2F26">
        <w:rPr>
          <w:rFonts w:eastAsiaTheme="majorEastAsia" w:cstheme="majorBidi"/>
          <w:bCs/>
        </w:rPr>
        <w:t xml:space="preserve"> Procedures Manual 2011</w:t>
      </w:r>
    </w:p>
    <w:p w:rsidR="00DF2FAC" w:rsidRDefault="00DF2FAC" w:rsidP="00DF2FAC">
      <w:pPr>
        <w:rPr>
          <w:rFonts w:eastAsiaTheme="majorEastAsia" w:cstheme="majorBidi"/>
          <w:bCs/>
        </w:rPr>
        <w:sectPr w:rsidR="00DF2FAC" w:rsidSect="001A6E70">
          <w:pgSz w:w="11907" w:h="16839" w:code="9"/>
          <w:pgMar w:top="1440" w:right="1440" w:bottom="1985" w:left="1440" w:header="0" w:footer="283" w:gutter="0"/>
          <w:pgNumType w:start="5"/>
          <w:cols w:space="708"/>
          <w:docGrid w:linePitch="360"/>
        </w:sectPr>
      </w:pPr>
    </w:p>
    <w:p w:rsidR="00DF2FAC" w:rsidRPr="00DF2FAC" w:rsidRDefault="00DF2FAC" w:rsidP="00DF2FAC">
      <w:pPr>
        <w:rPr>
          <w:rFonts w:eastAsiaTheme="majorEastAsia" w:cstheme="majorBidi"/>
          <w:bCs/>
        </w:rPr>
      </w:pPr>
    </w:p>
    <w:p w:rsidR="00D02973" w:rsidRPr="00DF2FAC" w:rsidRDefault="00D02973" w:rsidP="00D02973">
      <w:pPr>
        <w:pStyle w:val="Heading1"/>
        <w:spacing w:before="0" w:after="200"/>
        <w:rPr>
          <w:rFonts w:asciiTheme="minorHAnsi" w:hAnsiTheme="minorHAnsi"/>
        </w:rPr>
      </w:pPr>
      <w:bookmarkStart w:id="90" w:name="_Toc448475230"/>
      <w:r w:rsidRPr="00DF2FAC">
        <w:rPr>
          <w:rFonts w:asciiTheme="minorHAnsi" w:hAnsiTheme="minorHAnsi"/>
        </w:rPr>
        <w:t xml:space="preserve">10.0 </w:t>
      </w:r>
      <w:r w:rsidRPr="00DF2FAC">
        <w:rPr>
          <w:rFonts w:asciiTheme="minorHAnsi" w:hAnsiTheme="minorHAnsi"/>
        </w:rPr>
        <w:tab/>
        <w:t>Appendices</w:t>
      </w:r>
      <w:bookmarkEnd w:id="86"/>
      <w:bookmarkEnd w:id="87"/>
      <w:bookmarkEnd w:id="90"/>
    </w:p>
    <w:p w:rsidR="00D02973" w:rsidRPr="00373A85" w:rsidRDefault="00D02973" w:rsidP="00D02973">
      <w:pPr>
        <w:pStyle w:val="CTAMPH2"/>
        <w:tabs>
          <w:tab w:val="clear" w:pos="643"/>
        </w:tabs>
        <w:ind w:left="0" w:firstLine="0"/>
        <w:rPr>
          <w:rFonts w:asciiTheme="minorHAnsi" w:hAnsiTheme="minorHAnsi"/>
          <w:b w:val="0"/>
          <w:color w:val="auto"/>
          <w:sz w:val="22"/>
        </w:rPr>
      </w:pPr>
      <w:bookmarkStart w:id="91" w:name="_Toc448475231"/>
      <w:r w:rsidRPr="00373A85">
        <w:rPr>
          <w:rFonts w:asciiTheme="minorHAnsi" w:hAnsiTheme="minorHAnsi"/>
          <w:b w:val="0"/>
          <w:color w:val="auto"/>
          <w:sz w:val="22"/>
        </w:rPr>
        <w:t>Appendix 1 – Functional Recreation and Open Space Hierarchy Criteria</w:t>
      </w:r>
      <w:bookmarkEnd w:id="91"/>
    </w:p>
    <w:p w:rsidR="00D02973" w:rsidRPr="00373A85" w:rsidRDefault="00D02973" w:rsidP="00D02973">
      <w:pPr>
        <w:pStyle w:val="CTAMPH2"/>
        <w:tabs>
          <w:tab w:val="clear" w:pos="643"/>
        </w:tabs>
        <w:ind w:left="0" w:firstLine="0"/>
        <w:rPr>
          <w:rFonts w:asciiTheme="minorHAnsi" w:hAnsiTheme="minorHAnsi"/>
          <w:b w:val="0"/>
          <w:color w:val="auto"/>
          <w:sz w:val="22"/>
        </w:rPr>
      </w:pPr>
      <w:bookmarkStart w:id="92" w:name="_Toc448475232"/>
      <w:r w:rsidRPr="00373A85">
        <w:rPr>
          <w:rFonts w:asciiTheme="minorHAnsi" w:hAnsiTheme="minorHAnsi"/>
          <w:b w:val="0"/>
          <w:color w:val="auto"/>
          <w:sz w:val="22"/>
        </w:rPr>
        <w:t>Appendix 2 – Functional Facility Hierarchy Classification</w:t>
      </w:r>
      <w:bookmarkEnd w:id="92"/>
    </w:p>
    <w:p w:rsidR="00D02973" w:rsidRPr="00021EBB" w:rsidRDefault="00D02973" w:rsidP="00D02973">
      <w:pPr>
        <w:pStyle w:val="CTAMPH2"/>
        <w:tabs>
          <w:tab w:val="clear" w:pos="643"/>
        </w:tabs>
        <w:ind w:left="0" w:firstLine="0"/>
        <w:rPr>
          <w:rFonts w:asciiTheme="minorHAnsi" w:hAnsiTheme="minorHAnsi"/>
          <w:b w:val="0"/>
          <w:color w:val="auto"/>
          <w:sz w:val="22"/>
        </w:rPr>
      </w:pPr>
      <w:bookmarkStart w:id="93" w:name="_Toc448475233"/>
      <w:r w:rsidRPr="00373A85">
        <w:rPr>
          <w:rFonts w:asciiTheme="minorHAnsi" w:hAnsiTheme="minorHAnsi"/>
          <w:b w:val="0"/>
          <w:color w:val="auto"/>
          <w:sz w:val="22"/>
        </w:rPr>
        <w:t>Appendix 3 - Response Times - Request for Service</w:t>
      </w:r>
      <w:bookmarkEnd w:id="93"/>
    </w:p>
    <w:p w:rsidR="00D02973" w:rsidRPr="00021EBB" w:rsidRDefault="00D02973" w:rsidP="00D02973">
      <w:pPr>
        <w:pStyle w:val="CTAMPH2"/>
        <w:tabs>
          <w:tab w:val="clear" w:pos="643"/>
        </w:tabs>
        <w:ind w:left="0" w:firstLine="0"/>
        <w:rPr>
          <w:rFonts w:asciiTheme="minorHAnsi" w:hAnsiTheme="minorHAnsi"/>
          <w:b w:val="0"/>
          <w:color w:val="auto"/>
          <w:sz w:val="22"/>
        </w:rPr>
      </w:pPr>
      <w:bookmarkStart w:id="94" w:name="_Toc448475234"/>
      <w:r w:rsidRPr="00021EBB">
        <w:rPr>
          <w:rFonts w:asciiTheme="minorHAnsi" w:hAnsiTheme="minorHAnsi"/>
          <w:b w:val="0"/>
          <w:color w:val="auto"/>
          <w:sz w:val="22"/>
        </w:rPr>
        <w:t>Appendix 4 - General Service Levels</w:t>
      </w:r>
      <w:bookmarkEnd w:id="94"/>
    </w:p>
    <w:p w:rsidR="00D02973" w:rsidRPr="00021EBB" w:rsidRDefault="00D02973" w:rsidP="00D02973">
      <w:pPr>
        <w:pStyle w:val="CTAMPH2"/>
        <w:tabs>
          <w:tab w:val="clear" w:pos="643"/>
        </w:tabs>
        <w:ind w:left="0" w:firstLine="0"/>
        <w:rPr>
          <w:rFonts w:asciiTheme="minorHAnsi" w:hAnsiTheme="minorHAnsi"/>
          <w:b w:val="0"/>
          <w:color w:val="auto"/>
          <w:sz w:val="22"/>
        </w:rPr>
      </w:pPr>
      <w:bookmarkStart w:id="95" w:name="_Toc448475235"/>
      <w:r w:rsidRPr="00021EBB">
        <w:rPr>
          <w:rFonts w:asciiTheme="minorHAnsi" w:hAnsiTheme="minorHAnsi"/>
          <w:b w:val="0"/>
          <w:color w:val="auto"/>
          <w:sz w:val="22"/>
        </w:rPr>
        <w:t>Appendix 5 – Condition rating scale</w:t>
      </w:r>
      <w:bookmarkEnd w:id="95"/>
    </w:p>
    <w:p w:rsidR="00D02973" w:rsidRPr="00021EBB" w:rsidRDefault="00D02973" w:rsidP="00D02973">
      <w:pPr>
        <w:pStyle w:val="CTAMPH2"/>
        <w:tabs>
          <w:tab w:val="clear" w:pos="643"/>
        </w:tabs>
        <w:ind w:left="0" w:firstLine="0"/>
        <w:rPr>
          <w:rFonts w:asciiTheme="minorHAnsi" w:hAnsiTheme="minorHAnsi"/>
          <w:b w:val="0"/>
          <w:color w:val="auto"/>
          <w:sz w:val="22"/>
        </w:rPr>
      </w:pPr>
      <w:bookmarkStart w:id="96" w:name="_Toc448475236"/>
      <w:r w:rsidRPr="00021EBB">
        <w:rPr>
          <w:rFonts w:asciiTheme="minorHAnsi" w:hAnsiTheme="minorHAnsi"/>
          <w:b w:val="0"/>
          <w:color w:val="auto"/>
          <w:sz w:val="22"/>
        </w:rPr>
        <w:t>Appendix 6 – Key Assumptions in Moloney Modelling Expenditure Forecasts</w:t>
      </w:r>
      <w:bookmarkEnd w:id="96"/>
    </w:p>
    <w:p w:rsidR="00D02973" w:rsidRPr="00021EBB" w:rsidRDefault="00D02973" w:rsidP="00D02973">
      <w:pPr>
        <w:pStyle w:val="Heading2"/>
        <w:spacing w:after="200"/>
        <w:rPr>
          <w:rFonts w:asciiTheme="minorHAnsi" w:hAnsiTheme="minorHAnsi"/>
          <w:color w:val="auto"/>
        </w:rPr>
      </w:pPr>
    </w:p>
    <w:p w:rsidR="00D02973" w:rsidRPr="00021EBB" w:rsidRDefault="00D02973" w:rsidP="00D02973">
      <w:pPr>
        <w:pStyle w:val="Heading2"/>
        <w:spacing w:after="200"/>
        <w:rPr>
          <w:rFonts w:asciiTheme="minorHAnsi" w:hAnsiTheme="minorHAnsi"/>
          <w:color w:val="auto"/>
        </w:rPr>
      </w:pPr>
    </w:p>
    <w:p w:rsidR="00D02973" w:rsidRPr="00021EBB" w:rsidRDefault="00D02973" w:rsidP="00D02973">
      <w:pPr>
        <w:pStyle w:val="Heading2"/>
        <w:spacing w:after="200"/>
        <w:rPr>
          <w:rFonts w:asciiTheme="minorHAnsi" w:hAnsiTheme="minorHAnsi"/>
          <w:color w:val="auto"/>
        </w:rPr>
      </w:pPr>
    </w:p>
    <w:p w:rsidR="00D02973" w:rsidRPr="00021EBB" w:rsidRDefault="00D02973" w:rsidP="00D02973">
      <w:pPr>
        <w:pStyle w:val="Heading2"/>
        <w:spacing w:after="200"/>
        <w:rPr>
          <w:rFonts w:asciiTheme="minorHAnsi" w:hAnsiTheme="minorHAnsi"/>
          <w:color w:val="auto"/>
        </w:rPr>
      </w:pPr>
    </w:p>
    <w:p w:rsidR="00D02973" w:rsidRPr="00021EBB" w:rsidRDefault="00D02973" w:rsidP="00D02973">
      <w:pPr>
        <w:pStyle w:val="Heading2"/>
        <w:spacing w:after="200"/>
        <w:rPr>
          <w:rFonts w:asciiTheme="minorHAnsi" w:hAnsiTheme="minorHAnsi"/>
          <w:color w:val="auto"/>
        </w:rPr>
      </w:pPr>
    </w:p>
    <w:p w:rsidR="00D02973" w:rsidRPr="00021EBB" w:rsidRDefault="00D02973" w:rsidP="00D02973">
      <w:pPr>
        <w:pStyle w:val="Heading2"/>
        <w:spacing w:after="200"/>
        <w:rPr>
          <w:rFonts w:asciiTheme="minorHAnsi" w:hAnsiTheme="minorHAnsi"/>
          <w:color w:val="auto"/>
        </w:rPr>
      </w:pPr>
    </w:p>
    <w:p w:rsidR="00D02973" w:rsidRPr="00021EBB" w:rsidRDefault="00D02973" w:rsidP="00D02973">
      <w:pPr>
        <w:pStyle w:val="Heading2"/>
        <w:spacing w:after="200"/>
        <w:rPr>
          <w:rFonts w:asciiTheme="minorHAnsi" w:hAnsiTheme="minorHAnsi"/>
          <w:color w:val="auto"/>
        </w:rPr>
      </w:pPr>
    </w:p>
    <w:p w:rsidR="00D02973" w:rsidRPr="00021EBB" w:rsidRDefault="00D02973" w:rsidP="00D02973">
      <w:pPr>
        <w:pStyle w:val="Heading2"/>
        <w:spacing w:after="200"/>
        <w:rPr>
          <w:rFonts w:asciiTheme="minorHAnsi" w:hAnsiTheme="minorHAnsi"/>
          <w:color w:val="auto"/>
        </w:rPr>
      </w:pPr>
    </w:p>
    <w:p w:rsidR="00D02973" w:rsidRPr="00021EBB" w:rsidRDefault="00D02973" w:rsidP="00D02973">
      <w:pPr>
        <w:pStyle w:val="Heading2"/>
        <w:spacing w:after="200"/>
        <w:rPr>
          <w:rFonts w:asciiTheme="minorHAnsi" w:hAnsiTheme="minorHAnsi"/>
          <w:color w:val="auto"/>
        </w:rPr>
      </w:pPr>
    </w:p>
    <w:p w:rsidR="00D02973" w:rsidRPr="00021EBB" w:rsidRDefault="00D02973" w:rsidP="00D02973">
      <w:pPr>
        <w:pStyle w:val="Heading2"/>
        <w:spacing w:after="200"/>
        <w:rPr>
          <w:rFonts w:asciiTheme="minorHAnsi" w:hAnsiTheme="minorHAnsi"/>
          <w:color w:val="auto"/>
        </w:rPr>
      </w:pPr>
    </w:p>
    <w:p w:rsidR="00D02973" w:rsidRPr="00021EBB" w:rsidRDefault="00D02973" w:rsidP="00D02973">
      <w:pPr>
        <w:pStyle w:val="Heading2"/>
        <w:spacing w:after="200"/>
        <w:rPr>
          <w:rFonts w:asciiTheme="minorHAnsi" w:hAnsiTheme="minorHAnsi"/>
          <w:color w:val="auto"/>
        </w:rPr>
      </w:pPr>
    </w:p>
    <w:p w:rsidR="00D02973" w:rsidRPr="00021EBB" w:rsidRDefault="00D02973" w:rsidP="00D02973">
      <w:pPr>
        <w:pStyle w:val="Heading2"/>
        <w:spacing w:after="200"/>
        <w:rPr>
          <w:rFonts w:asciiTheme="minorHAnsi" w:hAnsiTheme="minorHAnsi"/>
          <w:color w:val="auto"/>
        </w:rPr>
      </w:pPr>
    </w:p>
    <w:p w:rsidR="00D02973" w:rsidRPr="00021EBB" w:rsidRDefault="00D02973" w:rsidP="00D02973">
      <w:pPr>
        <w:pStyle w:val="Heading2"/>
        <w:spacing w:after="200"/>
        <w:rPr>
          <w:rFonts w:asciiTheme="minorHAnsi" w:hAnsiTheme="minorHAnsi"/>
          <w:color w:val="auto"/>
        </w:rPr>
      </w:pPr>
    </w:p>
    <w:p w:rsidR="00D02973" w:rsidRPr="00021EBB" w:rsidRDefault="00D02973" w:rsidP="00D02973">
      <w:pPr>
        <w:pStyle w:val="Heading2"/>
        <w:spacing w:after="200"/>
        <w:rPr>
          <w:rFonts w:asciiTheme="minorHAnsi" w:hAnsiTheme="minorHAnsi"/>
          <w:color w:val="auto"/>
        </w:rPr>
      </w:pPr>
    </w:p>
    <w:p w:rsidR="00D02973" w:rsidRPr="00021EBB" w:rsidRDefault="00D02973" w:rsidP="00D02973">
      <w:pPr>
        <w:pStyle w:val="Heading2"/>
        <w:spacing w:after="200"/>
        <w:rPr>
          <w:rFonts w:asciiTheme="minorHAnsi" w:hAnsiTheme="minorHAnsi"/>
          <w:color w:val="auto"/>
        </w:rPr>
      </w:pPr>
    </w:p>
    <w:p w:rsidR="00D02973" w:rsidRPr="00021EBB" w:rsidRDefault="00D02973" w:rsidP="00D02973">
      <w:pPr>
        <w:pStyle w:val="Heading2"/>
        <w:spacing w:after="200"/>
        <w:rPr>
          <w:rFonts w:asciiTheme="minorHAnsi" w:hAnsiTheme="minorHAnsi"/>
          <w:color w:val="auto"/>
        </w:rPr>
        <w:sectPr w:rsidR="00D02973" w:rsidRPr="00021EBB" w:rsidSect="00AA1CC4">
          <w:pgSz w:w="11907" w:h="16839" w:code="9"/>
          <w:pgMar w:top="1440" w:right="1440" w:bottom="1985" w:left="1440" w:header="11" w:footer="283" w:gutter="0"/>
          <w:cols w:space="708"/>
          <w:docGrid w:linePitch="360"/>
        </w:sectPr>
      </w:pPr>
    </w:p>
    <w:p w:rsidR="00D02973" w:rsidRPr="00021EBB" w:rsidRDefault="00D02973" w:rsidP="00D02973">
      <w:pPr>
        <w:pStyle w:val="Heading2"/>
        <w:spacing w:before="120" w:after="200"/>
        <w:rPr>
          <w:rFonts w:asciiTheme="minorHAnsi" w:hAnsiTheme="minorHAnsi"/>
          <w:color w:val="auto"/>
        </w:rPr>
      </w:pPr>
      <w:bookmarkStart w:id="97" w:name="_Toc447796615"/>
      <w:bookmarkStart w:id="98" w:name="_Toc447796959"/>
      <w:bookmarkStart w:id="99" w:name="_Toc447797153"/>
      <w:bookmarkStart w:id="100" w:name="_Toc447892490"/>
      <w:bookmarkStart w:id="101" w:name="_Toc448388975"/>
      <w:bookmarkStart w:id="102" w:name="_Toc448389110"/>
      <w:bookmarkStart w:id="103" w:name="_Toc448475237"/>
      <w:r w:rsidRPr="00021EBB">
        <w:rPr>
          <w:rFonts w:asciiTheme="minorHAnsi" w:hAnsiTheme="minorHAnsi"/>
          <w:color w:val="auto"/>
        </w:rPr>
        <w:t>Appendix 1 – Functional Recreation and Open Space Hierarchy Criteria</w:t>
      </w:r>
      <w:bookmarkEnd w:id="97"/>
      <w:bookmarkEnd w:id="98"/>
      <w:bookmarkEnd w:id="99"/>
      <w:bookmarkEnd w:id="100"/>
      <w:bookmarkEnd w:id="101"/>
      <w:bookmarkEnd w:id="102"/>
      <w:bookmarkEnd w:id="103"/>
    </w:p>
    <w:tbl>
      <w:tblPr>
        <w:tblW w:w="15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0"/>
        <w:gridCol w:w="2992"/>
        <w:gridCol w:w="2693"/>
        <w:gridCol w:w="2835"/>
        <w:gridCol w:w="2552"/>
        <w:gridCol w:w="2835"/>
      </w:tblGrid>
      <w:tr w:rsidR="00D02973" w:rsidRPr="00EA2F26" w:rsidTr="00C44028">
        <w:trPr>
          <w:trHeight w:val="715"/>
          <w:jc w:val="center"/>
        </w:trPr>
        <w:tc>
          <w:tcPr>
            <w:tcW w:w="1970"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D02973" w:rsidRPr="00373A85" w:rsidRDefault="00D02973" w:rsidP="00DF2FAC">
            <w:pPr>
              <w:pStyle w:val="Header"/>
              <w:jc w:val="center"/>
              <w:rPr>
                <w:b/>
              </w:rPr>
            </w:pPr>
            <w:r w:rsidRPr="00373A85">
              <w:rPr>
                <w:b/>
              </w:rPr>
              <w:t>Functional Activity</w:t>
            </w:r>
          </w:p>
          <w:p w:rsidR="00D02973" w:rsidRPr="00373A85" w:rsidRDefault="00D02973" w:rsidP="00DF2FAC">
            <w:pPr>
              <w:pStyle w:val="Header"/>
              <w:jc w:val="center"/>
              <w:rPr>
                <w:b/>
              </w:rPr>
            </w:pPr>
            <w:r w:rsidRPr="00373A85">
              <w:rPr>
                <w:b/>
              </w:rPr>
              <w:t>Criterion</w:t>
            </w:r>
          </w:p>
        </w:tc>
        <w:tc>
          <w:tcPr>
            <w:tcW w:w="2992"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D02973" w:rsidRPr="00373A85" w:rsidRDefault="00D02973" w:rsidP="00DF2FAC">
            <w:pPr>
              <w:pStyle w:val="Header"/>
              <w:jc w:val="center"/>
              <w:rPr>
                <w:b/>
              </w:rPr>
            </w:pPr>
            <w:r w:rsidRPr="00373A85">
              <w:rPr>
                <w:b/>
              </w:rPr>
              <w:t>State or National Significance</w:t>
            </w:r>
          </w:p>
        </w:tc>
        <w:tc>
          <w:tcPr>
            <w:tcW w:w="2693"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D02973" w:rsidRPr="00373A85" w:rsidRDefault="00D02973" w:rsidP="00DF2FAC">
            <w:pPr>
              <w:pStyle w:val="Header"/>
              <w:jc w:val="center"/>
              <w:rPr>
                <w:b/>
              </w:rPr>
            </w:pPr>
            <w:r w:rsidRPr="00373A85">
              <w:rPr>
                <w:b/>
              </w:rPr>
              <w:t>Regional Significance</w:t>
            </w:r>
          </w:p>
        </w:tc>
        <w:tc>
          <w:tcPr>
            <w:tcW w:w="2835"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D02973" w:rsidRPr="00373A85" w:rsidRDefault="00D02973" w:rsidP="00DF2FAC">
            <w:pPr>
              <w:pStyle w:val="Header"/>
              <w:jc w:val="center"/>
              <w:rPr>
                <w:b/>
              </w:rPr>
            </w:pPr>
            <w:r w:rsidRPr="00373A85">
              <w:rPr>
                <w:b/>
              </w:rPr>
              <w:t>District Significance</w:t>
            </w:r>
          </w:p>
        </w:tc>
        <w:tc>
          <w:tcPr>
            <w:tcW w:w="2552"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D02973" w:rsidRPr="00373A85" w:rsidRDefault="00D02973" w:rsidP="00DF2FAC">
            <w:pPr>
              <w:pStyle w:val="Header"/>
              <w:jc w:val="center"/>
              <w:rPr>
                <w:b/>
              </w:rPr>
            </w:pPr>
            <w:r w:rsidRPr="00373A85">
              <w:rPr>
                <w:b/>
              </w:rPr>
              <w:t>Local Area Significance</w:t>
            </w:r>
          </w:p>
        </w:tc>
        <w:tc>
          <w:tcPr>
            <w:tcW w:w="2835"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D02973" w:rsidRPr="00373A85" w:rsidRDefault="00D02973" w:rsidP="00DF2FAC">
            <w:pPr>
              <w:pStyle w:val="Header"/>
              <w:jc w:val="center"/>
              <w:rPr>
                <w:b/>
              </w:rPr>
            </w:pPr>
            <w:r w:rsidRPr="00373A85">
              <w:rPr>
                <w:b/>
              </w:rPr>
              <w:t>Neighbourhood Significance</w:t>
            </w:r>
          </w:p>
        </w:tc>
      </w:tr>
      <w:tr w:rsidR="00D02973" w:rsidRPr="00EA2F26" w:rsidTr="00C44028">
        <w:trPr>
          <w:jc w:val="center"/>
        </w:trPr>
        <w:tc>
          <w:tcPr>
            <w:tcW w:w="1970" w:type="dxa"/>
            <w:tcBorders>
              <w:top w:val="double" w:sz="4" w:space="0" w:color="auto"/>
              <w:left w:val="double" w:sz="4" w:space="0" w:color="auto"/>
              <w:bottom w:val="double" w:sz="4" w:space="0" w:color="auto"/>
              <w:right w:val="double" w:sz="4" w:space="0" w:color="auto"/>
            </w:tcBorders>
            <w:shd w:val="clear" w:color="auto" w:fill="99CCFF"/>
            <w:vAlign w:val="center"/>
          </w:tcPr>
          <w:p w:rsidR="00D02973" w:rsidRPr="00373A85" w:rsidRDefault="00D02973" w:rsidP="00DF2FAC">
            <w:pPr>
              <w:pStyle w:val="Header"/>
              <w:ind w:left="359" w:hanging="359"/>
              <w:rPr>
                <w:b/>
              </w:rPr>
            </w:pPr>
            <w:r>
              <w:rPr>
                <w:b/>
              </w:rPr>
              <w:t>*</w:t>
            </w:r>
            <w:r>
              <w:rPr>
                <w:b/>
              </w:rPr>
              <w:tab/>
            </w:r>
            <w:r w:rsidRPr="00373A85">
              <w:rPr>
                <w:b/>
              </w:rPr>
              <w:t>Essential Criteria</w:t>
            </w:r>
          </w:p>
        </w:tc>
        <w:tc>
          <w:tcPr>
            <w:tcW w:w="2992" w:type="dxa"/>
            <w:tcBorders>
              <w:top w:val="double" w:sz="4" w:space="0" w:color="auto"/>
              <w:left w:val="double" w:sz="4" w:space="0" w:color="auto"/>
              <w:bottom w:val="double" w:sz="4" w:space="0" w:color="auto"/>
              <w:right w:val="double" w:sz="4" w:space="0" w:color="auto"/>
            </w:tcBorders>
            <w:shd w:val="clear" w:color="auto" w:fill="99CCFF"/>
            <w:vAlign w:val="center"/>
          </w:tcPr>
          <w:p w:rsidR="00D02973" w:rsidRPr="00373A85" w:rsidRDefault="00D02973" w:rsidP="00DF2FAC">
            <w:pPr>
              <w:pStyle w:val="Header"/>
            </w:pPr>
            <w:r w:rsidRPr="00373A85">
              <w:t>Must be the primary facility of this nature within the State</w:t>
            </w:r>
          </w:p>
        </w:tc>
        <w:tc>
          <w:tcPr>
            <w:tcW w:w="2693" w:type="dxa"/>
            <w:tcBorders>
              <w:top w:val="double" w:sz="4" w:space="0" w:color="auto"/>
              <w:left w:val="double" w:sz="4" w:space="0" w:color="auto"/>
              <w:bottom w:val="double" w:sz="4" w:space="0" w:color="auto"/>
              <w:right w:val="double" w:sz="4" w:space="0" w:color="auto"/>
            </w:tcBorders>
            <w:shd w:val="clear" w:color="auto" w:fill="99CCFF"/>
            <w:vAlign w:val="center"/>
          </w:tcPr>
          <w:p w:rsidR="00D02973" w:rsidRPr="00373A85" w:rsidRDefault="00D02973" w:rsidP="00DF2FAC">
            <w:pPr>
              <w:pStyle w:val="Header"/>
            </w:pPr>
            <w:r w:rsidRPr="00373A85">
              <w:t>Must be the Primary facility of this nature within the Region</w:t>
            </w:r>
          </w:p>
        </w:tc>
        <w:tc>
          <w:tcPr>
            <w:tcW w:w="2835" w:type="dxa"/>
            <w:tcBorders>
              <w:top w:val="double" w:sz="4" w:space="0" w:color="auto"/>
              <w:left w:val="double" w:sz="4" w:space="0" w:color="auto"/>
              <w:bottom w:val="double" w:sz="4" w:space="0" w:color="auto"/>
              <w:right w:val="double" w:sz="4" w:space="0" w:color="auto"/>
            </w:tcBorders>
            <w:shd w:val="clear" w:color="auto" w:fill="99CCFF"/>
            <w:vAlign w:val="center"/>
          </w:tcPr>
          <w:p w:rsidR="00D02973" w:rsidRPr="00373A85" w:rsidRDefault="00D02973" w:rsidP="00DF2FAC">
            <w:pPr>
              <w:pStyle w:val="Header"/>
            </w:pPr>
            <w:r w:rsidRPr="00373A85">
              <w:t>Must be the Primary facility of this nature within the Municipal district *</w:t>
            </w:r>
          </w:p>
        </w:tc>
        <w:tc>
          <w:tcPr>
            <w:tcW w:w="2552" w:type="dxa"/>
            <w:tcBorders>
              <w:top w:val="double" w:sz="4" w:space="0" w:color="auto"/>
              <w:left w:val="double" w:sz="4" w:space="0" w:color="auto"/>
              <w:bottom w:val="double" w:sz="4" w:space="0" w:color="auto"/>
              <w:right w:val="double" w:sz="4" w:space="0" w:color="auto"/>
            </w:tcBorders>
            <w:shd w:val="clear" w:color="auto" w:fill="99CCFF"/>
            <w:vAlign w:val="center"/>
          </w:tcPr>
          <w:p w:rsidR="00D02973" w:rsidRPr="00373A85" w:rsidRDefault="00D02973" w:rsidP="00DF2FAC">
            <w:pPr>
              <w:pStyle w:val="Header"/>
            </w:pPr>
            <w:r w:rsidRPr="00373A85">
              <w:t>Must be the Primary facility of this nature within the Local Area/Town/Suburb.</w:t>
            </w:r>
          </w:p>
        </w:tc>
        <w:tc>
          <w:tcPr>
            <w:tcW w:w="2835" w:type="dxa"/>
            <w:tcBorders>
              <w:top w:val="double" w:sz="4" w:space="0" w:color="auto"/>
              <w:left w:val="double" w:sz="4" w:space="0" w:color="auto"/>
              <w:bottom w:val="double" w:sz="4" w:space="0" w:color="auto"/>
              <w:right w:val="double" w:sz="4" w:space="0" w:color="auto"/>
            </w:tcBorders>
            <w:shd w:val="clear" w:color="auto" w:fill="99CCFF"/>
            <w:vAlign w:val="center"/>
          </w:tcPr>
          <w:p w:rsidR="00D02973" w:rsidRPr="00373A85" w:rsidRDefault="00D02973" w:rsidP="00DF2FAC">
            <w:pPr>
              <w:pStyle w:val="Header"/>
            </w:pPr>
            <w:r w:rsidRPr="00373A85">
              <w:t>A facility servicing the properties within a block or two (400m) – easy walking distance.</w:t>
            </w:r>
          </w:p>
        </w:tc>
      </w:tr>
      <w:tr w:rsidR="00D02973" w:rsidRPr="00EA2F26" w:rsidTr="00C44028">
        <w:trPr>
          <w:jc w:val="center"/>
        </w:trPr>
        <w:tc>
          <w:tcPr>
            <w:tcW w:w="1970" w:type="dxa"/>
            <w:tcBorders>
              <w:top w:val="double" w:sz="4" w:space="0" w:color="auto"/>
              <w:left w:val="double" w:sz="4" w:space="0" w:color="auto"/>
              <w:right w:val="double" w:sz="4" w:space="0" w:color="auto"/>
            </w:tcBorders>
            <w:shd w:val="clear" w:color="auto" w:fill="CCFFFF"/>
            <w:vAlign w:val="center"/>
          </w:tcPr>
          <w:p w:rsidR="00D02973" w:rsidRPr="00373A85" w:rsidRDefault="00D02973" w:rsidP="00DF2FAC">
            <w:pPr>
              <w:pStyle w:val="Header"/>
              <w:tabs>
                <w:tab w:val="left" w:pos="359"/>
              </w:tabs>
              <w:ind w:left="359" w:hanging="359"/>
              <w:rPr>
                <w:b/>
              </w:rPr>
            </w:pPr>
            <w:r w:rsidRPr="00373A85">
              <w:rPr>
                <w:b/>
              </w:rPr>
              <w:t>1</w:t>
            </w:r>
            <w:r w:rsidRPr="00373A85">
              <w:rPr>
                <w:b/>
              </w:rPr>
              <w:tab/>
              <w:t>Predominant Activity</w:t>
            </w:r>
          </w:p>
        </w:tc>
        <w:tc>
          <w:tcPr>
            <w:tcW w:w="2992" w:type="dxa"/>
            <w:tcBorders>
              <w:top w:val="double" w:sz="4" w:space="0" w:color="auto"/>
              <w:left w:val="double" w:sz="4" w:space="0" w:color="auto"/>
              <w:right w:val="double" w:sz="4" w:space="0" w:color="auto"/>
            </w:tcBorders>
            <w:vAlign w:val="center"/>
          </w:tcPr>
          <w:p w:rsidR="00D02973" w:rsidRPr="00373A85" w:rsidRDefault="00D02973" w:rsidP="00DF2FAC">
            <w:pPr>
              <w:pStyle w:val="Header"/>
            </w:pPr>
            <w:r w:rsidRPr="00373A85">
              <w:t>Major facility that provides the primary service/purpose for that facility within the State or Nation</w:t>
            </w:r>
          </w:p>
        </w:tc>
        <w:tc>
          <w:tcPr>
            <w:tcW w:w="2693" w:type="dxa"/>
            <w:tcBorders>
              <w:top w:val="double" w:sz="4" w:space="0" w:color="auto"/>
              <w:left w:val="double" w:sz="4" w:space="0" w:color="auto"/>
              <w:right w:val="double" w:sz="4" w:space="0" w:color="auto"/>
            </w:tcBorders>
            <w:vAlign w:val="center"/>
          </w:tcPr>
          <w:p w:rsidR="00D02973" w:rsidRPr="00373A85" w:rsidRDefault="00D02973" w:rsidP="00DF2FAC">
            <w:pPr>
              <w:pStyle w:val="Header"/>
            </w:pPr>
            <w:r w:rsidRPr="00373A85">
              <w:t>A facility that provides a service/function to a wider catchment of people than just those that live within the municipal district in which the facility is located.</w:t>
            </w:r>
          </w:p>
        </w:tc>
        <w:tc>
          <w:tcPr>
            <w:tcW w:w="2835" w:type="dxa"/>
            <w:tcBorders>
              <w:top w:val="double" w:sz="4" w:space="0" w:color="auto"/>
              <w:left w:val="double" w:sz="4" w:space="0" w:color="auto"/>
              <w:right w:val="double" w:sz="4" w:space="0" w:color="auto"/>
            </w:tcBorders>
            <w:vAlign w:val="center"/>
          </w:tcPr>
          <w:p w:rsidR="00D02973" w:rsidRPr="00373A85" w:rsidRDefault="00D02973" w:rsidP="00DF2FAC">
            <w:pPr>
              <w:pStyle w:val="Header"/>
            </w:pPr>
            <w:r w:rsidRPr="00373A85">
              <w:t>A facility where the primary service/function is directed toward the residents of the municipality district in which the facility is located.</w:t>
            </w:r>
          </w:p>
        </w:tc>
        <w:tc>
          <w:tcPr>
            <w:tcW w:w="2552" w:type="dxa"/>
            <w:tcBorders>
              <w:top w:val="double" w:sz="4" w:space="0" w:color="auto"/>
              <w:left w:val="double" w:sz="4" w:space="0" w:color="auto"/>
              <w:right w:val="double" w:sz="4" w:space="0" w:color="auto"/>
            </w:tcBorders>
            <w:vAlign w:val="center"/>
          </w:tcPr>
          <w:p w:rsidR="00D02973" w:rsidRPr="00373A85" w:rsidRDefault="00D02973" w:rsidP="00DF2FAC">
            <w:pPr>
              <w:pStyle w:val="Header"/>
            </w:pPr>
            <w:r w:rsidRPr="00373A85">
              <w:t>A facility where the primary service/function is directed toward a subset, e.g. a town or suburb, of the municipal district in which the facility is located</w:t>
            </w:r>
          </w:p>
        </w:tc>
        <w:tc>
          <w:tcPr>
            <w:tcW w:w="2835" w:type="dxa"/>
            <w:tcBorders>
              <w:top w:val="double" w:sz="4" w:space="0" w:color="auto"/>
              <w:left w:val="double" w:sz="4" w:space="0" w:color="auto"/>
              <w:right w:val="double" w:sz="4" w:space="0" w:color="auto"/>
            </w:tcBorders>
            <w:vAlign w:val="center"/>
          </w:tcPr>
          <w:p w:rsidR="00D02973" w:rsidRPr="00373A85" w:rsidRDefault="00D02973" w:rsidP="00DF2FAC">
            <w:pPr>
              <w:pStyle w:val="Header"/>
            </w:pPr>
            <w:r w:rsidRPr="00373A85">
              <w:t>A facility where the primary service/function is directed toward the local neighbourhood (as described above).</w:t>
            </w:r>
          </w:p>
        </w:tc>
      </w:tr>
      <w:tr w:rsidR="00D02973" w:rsidRPr="00EA2F26" w:rsidTr="00C44028">
        <w:trPr>
          <w:jc w:val="center"/>
        </w:trPr>
        <w:tc>
          <w:tcPr>
            <w:tcW w:w="1970" w:type="dxa"/>
            <w:tcBorders>
              <w:left w:val="double" w:sz="4" w:space="0" w:color="auto"/>
              <w:right w:val="double" w:sz="4" w:space="0" w:color="auto"/>
            </w:tcBorders>
            <w:shd w:val="clear" w:color="auto" w:fill="CCFFFF"/>
            <w:vAlign w:val="center"/>
          </w:tcPr>
          <w:p w:rsidR="00D02973" w:rsidRPr="00373A85" w:rsidRDefault="00D02973" w:rsidP="00DF2FAC">
            <w:pPr>
              <w:pStyle w:val="Header"/>
              <w:tabs>
                <w:tab w:val="left" w:pos="359"/>
              </w:tabs>
              <w:ind w:left="359" w:hanging="359"/>
              <w:rPr>
                <w:b/>
              </w:rPr>
            </w:pPr>
            <w:r w:rsidRPr="00373A85">
              <w:rPr>
                <w:b/>
              </w:rPr>
              <w:t>2</w:t>
            </w:r>
            <w:r w:rsidRPr="00373A85">
              <w:rPr>
                <w:b/>
              </w:rPr>
              <w:tab/>
              <w:t>Historic Significance</w:t>
            </w:r>
          </w:p>
        </w:tc>
        <w:tc>
          <w:tcPr>
            <w:tcW w:w="2992" w:type="dxa"/>
            <w:tcBorders>
              <w:left w:val="double" w:sz="4" w:space="0" w:color="auto"/>
              <w:right w:val="double" w:sz="4" w:space="0" w:color="auto"/>
            </w:tcBorders>
            <w:vAlign w:val="center"/>
          </w:tcPr>
          <w:p w:rsidR="00D02973" w:rsidRPr="00373A85" w:rsidRDefault="00D02973" w:rsidP="00DF2FAC">
            <w:pPr>
              <w:pStyle w:val="Header"/>
            </w:pPr>
            <w:r w:rsidRPr="00373A85">
              <w:t>Listed on the Register of the National Estate or the National Heritage List  or Listed on the State Heritage or Interim State Heritage inventory detailing significance to the State or Nation</w:t>
            </w:r>
          </w:p>
        </w:tc>
        <w:tc>
          <w:tcPr>
            <w:tcW w:w="2693" w:type="dxa"/>
            <w:tcBorders>
              <w:left w:val="double" w:sz="4" w:space="0" w:color="auto"/>
              <w:right w:val="double" w:sz="4" w:space="0" w:color="auto"/>
            </w:tcBorders>
            <w:vAlign w:val="center"/>
          </w:tcPr>
          <w:p w:rsidR="00D02973" w:rsidRPr="00373A85" w:rsidRDefault="00D02973" w:rsidP="00DF2FAC">
            <w:pPr>
              <w:pStyle w:val="Header"/>
            </w:pPr>
            <w:r w:rsidRPr="00373A85">
              <w:t>State Heritage Inventory or Interim State Heritage Inventory Listing detailing significance to the Region</w:t>
            </w:r>
          </w:p>
        </w:tc>
        <w:tc>
          <w:tcPr>
            <w:tcW w:w="2835" w:type="dxa"/>
            <w:tcBorders>
              <w:left w:val="double" w:sz="4" w:space="0" w:color="auto"/>
              <w:right w:val="double" w:sz="4" w:space="0" w:color="auto"/>
            </w:tcBorders>
            <w:vAlign w:val="center"/>
          </w:tcPr>
          <w:p w:rsidR="00D02973" w:rsidRPr="00373A85" w:rsidRDefault="00D02973" w:rsidP="00DF2FAC">
            <w:pPr>
              <w:pStyle w:val="Header"/>
            </w:pPr>
            <w:r w:rsidRPr="00373A85">
              <w:t xml:space="preserve">Listed on the </w:t>
            </w:r>
            <w:r>
              <w:t>Council</w:t>
            </w:r>
            <w:r w:rsidRPr="00373A85">
              <w:t>’s Municipal Heritage Inventory</w:t>
            </w:r>
          </w:p>
        </w:tc>
        <w:tc>
          <w:tcPr>
            <w:tcW w:w="2552" w:type="dxa"/>
            <w:tcBorders>
              <w:left w:val="double" w:sz="4" w:space="0" w:color="auto"/>
              <w:right w:val="double" w:sz="4" w:space="0" w:color="auto"/>
            </w:tcBorders>
            <w:vAlign w:val="center"/>
          </w:tcPr>
          <w:p w:rsidR="00D02973" w:rsidRPr="00373A85" w:rsidRDefault="00D02973" w:rsidP="00DF2FAC">
            <w:pPr>
              <w:pStyle w:val="Header"/>
            </w:pPr>
            <w:r w:rsidRPr="00373A85">
              <w:t>No Heritage Listing</w:t>
            </w:r>
          </w:p>
        </w:tc>
        <w:tc>
          <w:tcPr>
            <w:tcW w:w="2835" w:type="dxa"/>
            <w:tcBorders>
              <w:left w:val="double" w:sz="4" w:space="0" w:color="auto"/>
              <w:right w:val="double" w:sz="4" w:space="0" w:color="auto"/>
            </w:tcBorders>
            <w:vAlign w:val="center"/>
          </w:tcPr>
          <w:p w:rsidR="00D02973" w:rsidRPr="00373A85" w:rsidRDefault="00D02973" w:rsidP="00DF2FAC">
            <w:pPr>
              <w:pStyle w:val="Header"/>
            </w:pPr>
            <w:r w:rsidRPr="00373A85">
              <w:t>No Heritage Listing</w:t>
            </w:r>
          </w:p>
        </w:tc>
      </w:tr>
      <w:tr w:rsidR="00D02973" w:rsidRPr="00EA2F26" w:rsidTr="00C44028">
        <w:trPr>
          <w:jc w:val="center"/>
        </w:trPr>
        <w:tc>
          <w:tcPr>
            <w:tcW w:w="1970" w:type="dxa"/>
            <w:tcBorders>
              <w:left w:val="double" w:sz="4" w:space="0" w:color="auto"/>
              <w:right w:val="double" w:sz="4" w:space="0" w:color="auto"/>
            </w:tcBorders>
            <w:shd w:val="clear" w:color="auto" w:fill="CCFFFF"/>
            <w:vAlign w:val="center"/>
          </w:tcPr>
          <w:p w:rsidR="00D02973" w:rsidRPr="00373A85" w:rsidRDefault="00D02973" w:rsidP="00DF2FAC">
            <w:pPr>
              <w:pStyle w:val="Header"/>
              <w:tabs>
                <w:tab w:val="left" w:pos="359"/>
              </w:tabs>
              <w:ind w:left="359" w:hanging="359"/>
              <w:rPr>
                <w:b/>
              </w:rPr>
            </w:pPr>
            <w:r w:rsidRPr="00373A85">
              <w:rPr>
                <w:b/>
              </w:rPr>
              <w:t>3</w:t>
            </w:r>
            <w:r w:rsidRPr="00373A85">
              <w:rPr>
                <w:b/>
              </w:rPr>
              <w:tab/>
              <w:t>Social/Cultural Value or Economic Benefit</w:t>
            </w:r>
          </w:p>
        </w:tc>
        <w:tc>
          <w:tcPr>
            <w:tcW w:w="2992" w:type="dxa"/>
            <w:tcBorders>
              <w:left w:val="double" w:sz="4" w:space="0" w:color="auto"/>
              <w:right w:val="double" w:sz="4" w:space="0" w:color="auto"/>
            </w:tcBorders>
            <w:vAlign w:val="center"/>
          </w:tcPr>
          <w:p w:rsidR="00D02973" w:rsidRPr="00373A85" w:rsidRDefault="00D02973" w:rsidP="00DF2FAC">
            <w:pPr>
              <w:pStyle w:val="Header"/>
            </w:pPr>
            <w:r w:rsidRPr="00373A85">
              <w:t>Of social and/or cultural significance or provides an economic benefit to the state</w:t>
            </w:r>
          </w:p>
        </w:tc>
        <w:tc>
          <w:tcPr>
            <w:tcW w:w="2693" w:type="dxa"/>
            <w:tcBorders>
              <w:left w:val="double" w:sz="4" w:space="0" w:color="auto"/>
              <w:right w:val="double" w:sz="4" w:space="0" w:color="auto"/>
            </w:tcBorders>
            <w:vAlign w:val="center"/>
          </w:tcPr>
          <w:p w:rsidR="00D02973" w:rsidRPr="00373A85" w:rsidRDefault="00D02973" w:rsidP="00DF2FAC">
            <w:r w:rsidRPr="00373A85">
              <w:t>Of social and/or cultural significance or provides an economic benefit to the region</w:t>
            </w:r>
          </w:p>
        </w:tc>
        <w:tc>
          <w:tcPr>
            <w:tcW w:w="2835" w:type="dxa"/>
            <w:tcBorders>
              <w:left w:val="double" w:sz="4" w:space="0" w:color="auto"/>
              <w:right w:val="double" w:sz="4" w:space="0" w:color="auto"/>
            </w:tcBorders>
            <w:vAlign w:val="center"/>
          </w:tcPr>
          <w:p w:rsidR="00D02973" w:rsidRPr="00373A85" w:rsidRDefault="00D02973" w:rsidP="00DF2FAC">
            <w:r w:rsidRPr="00373A85">
              <w:t>Of social and/or cultural significance or provides an economic benefit to the municipality.</w:t>
            </w:r>
          </w:p>
        </w:tc>
        <w:tc>
          <w:tcPr>
            <w:tcW w:w="2552" w:type="dxa"/>
            <w:tcBorders>
              <w:left w:val="double" w:sz="4" w:space="0" w:color="auto"/>
              <w:right w:val="double" w:sz="4" w:space="0" w:color="auto"/>
            </w:tcBorders>
            <w:vAlign w:val="center"/>
          </w:tcPr>
          <w:p w:rsidR="00D02973" w:rsidRPr="00373A85" w:rsidRDefault="00D02973" w:rsidP="00DF2FAC">
            <w:r w:rsidRPr="00373A85">
              <w:t>Of social and/or cultural significance or provides an economic benefit to the local area</w:t>
            </w:r>
          </w:p>
        </w:tc>
        <w:tc>
          <w:tcPr>
            <w:tcW w:w="2835" w:type="dxa"/>
            <w:tcBorders>
              <w:left w:val="double" w:sz="4" w:space="0" w:color="auto"/>
              <w:right w:val="double" w:sz="4" w:space="0" w:color="auto"/>
            </w:tcBorders>
            <w:vAlign w:val="center"/>
          </w:tcPr>
          <w:p w:rsidR="00D02973" w:rsidRPr="00373A85" w:rsidRDefault="00D02973" w:rsidP="00DF2FAC">
            <w:r w:rsidRPr="00373A85">
              <w:t>Of social and/or cultural significance or provides an economic benefit to the neighbourhood</w:t>
            </w:r>
          </w:p>
        </w:tc>
      </w:tr>
      <w:tr w:rsidR="00D02973" w:rsidRPr="00EA2F26" w:rsidTr="00C44028">
        <w:trPr>
          <w:trHeight w:val="1271"/>
          <w:jc w:val="center"/>
        </w:trPr>
        <w:tc>
          <w:tcPr>
            <w:tcW w:w="1970" w:type="dxa"/>
            <w:tcBorders>
              <w:left w:val="double" w:sz="4" w:space="0" w:color="auto"/>
              <w:bottom w:val="double" w:sz="4" w:space="0" w:color="auto"/>
              <w:right w:val="double" w:sz="4" w:space="0" w:color="auto"/>
            </w:tcBorders>
            <w:shd w:val="clear" w:color="auto" w:fill="CCFFFF"/>
            <w:vAlign w:val="center"/>
          </w:tcPr>
          <w:p w:rsidR="00D02973" w:rsidRPr="00373A85" w:rsidRDefault="00D02973" w:rsidP="00DF2FAC">
            <w:pPr>
              <w:pStyle w:val="Header"/>
              <w:tabs>
                <w:tab w:val="left" w:pos="359"/>
              </w:tabs>
              <w:ind w:left="359" w:hanging="359"/>
              <w:rPr>
                <w:b/>
              </w:rPr>
            </w:pPr>
            <w:r w:rsidRPr="00373A85">
              <w:rPr>
                <w:b/>
              </w:rPr>
              <w:t>4</w:t>
            </w:r>
            <w:r w:rsidRPr="00373A85">
              <w:rPr>
                <w:b/>
              </w:rPr>
              <w:tab/>
              <w:t>Part of a Network</w:t>
            </w:r>
          </w:p>
        </w:tc>
        <w:tc>
          <w:tcPr>
            <w:tcW w:w="2992" w:type="dxa"/>
            <w:tcBorders>
              <w:left w:val="double" w:sz="4" w:space="0" w:color="auto"/>
              <w:bottom w:val="double" w:sz="4" w:space="0" w:color="auto"/>
              <w:right w:val="double" w:sz="4" w:space="0" w:color="auto"/>
            </w:tcBorders>
            <w:vAlign w:val="center"/>
          </w:tcPr>
          <w:p w:rsidR="00D02973" w:rsidRPr="00373A85" w:rsidRDefault="00D02973" w:rsidP="00DF2FAC">
            <w:pPr>
              <w:pStyle w:val="Header"/>
            </w:pPr>
            <w:r w:rsidRPr="00373A85">
              <w:t>Forms part of a network of similar facilities between States</w:t>
            </w:r>
          </w:p>
        </w:tc>
        <w:tc>
          <w:tcPr>
            <w:tcW w:w="2693" w:type="dxa"/>
            <w:tcBorders>
              <w:left w:val="double" w:sz="4" w:space="0" w:color="auto"/>
              <w:bottom w:val="double" w:sz="4" w:space="0" w:color="auto"/>
              <w:right w:val="double" w:sz="4" w:space="0" w:color="auto"/>
            </w:tcBorders>
            <w:vAlign w:val="center"/>
          </w:tcPr>
          <w:p w:rsidR="00D02973" w:rsidRPr="00373A85" w:rsidRDefault="00D02973" w:rsidP="00DF2FAC">
            <w:r w:rsidRPr="00373A85">
              <w:t>Forms part of a network of similar facilities across a State or land division or region of the State</w:t>
            </w:r>
          </w:p>
        </w:tc>
        <w:tc>
          <w:tcPr>
            <w:tcW w:w="2835" w:type="dxa"/>
            <w:tcBorders>
              <w:left w:val="double" w:sz="4" w:space="0" w:color="auto"/>
              <w:bottom w:val="double" w:sz="4" w:space="0" w:color="auto"/>
              <w:right w:val="double" w:sz="4" w:space="0" w:color="auto"/>
            </w:tcBorders>
            <w:vAlign w:val="center"/>
          </w:tcPr>
          <w:p w:rsidR="00D02973" w:rsidRPr="00373A85" w:rsidRDefault="00D02973" w:rsidP="00DF2FAC">
            <w:r w:rsidRPr="00373A85">
              <w:t>Forms part of a network of similar facilities between municipalities.</w:t>
            </w:r>
          </w:p>
        </w:tc>
        <w:tc>
          <w:tcPr>
            <w:tcW w:w="2552" w:type="dxa"/>
            <w:tcBorders>
              <w:left w:val="double" w:sz="4" w:space="0" w:color="auto"/>
              <w:bottom w:val="double" w:sz="4" w:space="0" w:color="auto"/>
              <w:right w:val="double" w:sz="4" w:space="0" w:color="auto"/>
            </w:tcBorders>
            <w:vAlign w:val="center"/>
          </w:tcPr>
          <w:p w:rsidR="00D02973" w:rsidRPr="00373A85" w:rsidRDefault="00D02973" w:rsidP="00DF2FAC">
            <w:r w:rsidRPr="00373A85">
              <w:t>Forms part of a network of similar facilities across the municipal area.</w:t>
            </w:r>
          </w:p>
        </w:tc>
        <w:tc>
          <w:tcPr>
            <w:tcW w:w="2835" w:type="dxa"/>
            <w:tcBorders>
              <w:left w:val="double" w:sz="4" w:space="0" w:color="auto"/>
              <w:bottom w:val="double" w:sz="4" w:space="0" w:color="auto"/>
              <w:right w:val="double" w:sz="4" w:space="0" w:color="auto"/>
            </w:tcBorders>
            <w:vAlign w:val="center"/>
          </w:tcPr>
          <w:p w:rsidR="00D02973" w:rsidRPr="00373A85" w:rsidRDefault="00D02973" w:rsidP="00DF2FAC">
            <w:r w:rsidRPr="00373A85">
              <w:t xml:space="preserve">Is not necessarily part of a network of similar facilities </w:t>
            </w:r>
          </w:p>
        </w:tc>
      </w:tr>
    </w:tbl>
    <w:p w:rsidR="00D02973" w:rsidRPr="00EA2F26" w:rsidRDefault="00D02973" w:rsidP="00D02973">
      <w:pPr>
        <w:pStyle w:val="Header"/>
        <w:tabs>
          <w:tab w:val="left" w:pos="567"/>
        </w:tabs>
        <w:spacing w:before="60"/>
        <w:ind w:left="360"/>
        <w:outlineLvl w:val="0"/>
        <w:sectPr w:rsidR="00D02973" w:rsidRPr="00EA2F26" w:rsidSect="00E11316">
          <w:footerReference w:type="default" r:id="rId35"/>
          <w:footerReference w:type="first" r:id="rId36"/>
          <w:pgSz w:w="16839" w:h="11907" w:orient="landscape" w:code="9"/>
          <w:pgMar w:top="284" w:right="1440" w:bottom="568" w:left="1985" w:header="708" w:footer="283" w:gutter="0"/>
          <w:cols w:space="708"/>
          <w:titlePg/>
          <w:docGrid w:linePitch="360"/>
        </w:sectPr>
      </w:pPr>
      <w:bookmarkStart w:id="104" w:name="_Toc447796616"/>
      <w:bookmarkStart w:id="105" w:name="_Toc447796960"/>
      <w:bookmarkStart w:id="106" w:name="_Toc447797154"/>
      <w:bookmarkStart w:id="107" w:name="_Toc447892491"/>
      <w:bookmarkStart w:id="108" w:name="_Toc448388976"/>
      <w:bookmarkStart w:id="109" w:name="_Toc448389111"/>
      <w:bookmarkStart w:id="110" w:name="_Toc448475238"/>
      <w:r w:rsidRPr="00EA2F26">
        <w:rPr>
          <w:b/>
          <w:i/>
          <w:iCs/>
        </w:rPr>
        <w:t>* Municipal district</w:t>
      </w:r>
      <w:r w:rsidRPr="00EA2F26">
        <w:t xml:space="preserve"> means the district under the local government of a </w:t>
      </w:r>
      <w:r>
        <w:t>Council</w:t>
      </w:r>
      <w:r w:rsidRPr="00EA2F26">
        <w:t xml:space="preserve"> (LG Act 1989, Victoria)</w:t>
      </w:r>
      <w:bookmarkEnd w:id="104"/>
      <w:bookmarkEnd w:id="105"/>
      <w:bookmarkEnd w:id="106"/>
      <w:bookmarkEnd w:id="107"/>
      <w:bookmarkEnd w:id="108"/>
      <w:bookmarkEnd w:id="109"/>
      <w:bookmarkEnd w:id="110"/>
    </w:p>
    <w:p w:rsidR="00D02973" w:rsidRPr="00021EBB" w:rsidRDefault="00D02973" w:rsidP="00D02973">
      <w:pPr>
        <w:pStyle w:val="Heading2"/>
        <w:spacing w:before="120" w:after="200"/>
        <w:rPr>
          <w:rFonts w:asciiTheme="minorHAnsi" w:hAnsiTheme="minorHAnsi"/>
          <w:color w:val="auto"/>
        </w:rPr>
      </w:pPr>
      <w:bookmarkStart w:id="111" w:name="_Toc288653669"/>
      <w:bookmarkStart w:id="112" w:name="_Toc330392216"/>
      <w:bookmarkStart w:id="113" w:name="_Toc447796617"/>
      <w:bookmarkStart w:id="114" w:name="_Toc447796961"/>
      <w:bookmarkStart w:id="115" w:name="_Toc447797155"/>
      <w:bookmarkStart w:id="116" w:name="_Toc447892492"/>
      <w:bookmarkStart w:id="117" w:name="_Toc448388977"/>
      <w:bookmarkStart w:id="118" w:name="_Toc448389112"/>
      <w:bookmarkStart w:id="119" w:name="_Toc448475239"/>
      <w:r w:rsidRPr="00021EBB">
        <w:rPr>
          <w:rFonts w:asciiTheme="minorHAnsi" w:hAnsiTheme="minorHAnsi"/>
          <w:color w:val="auto"/>
        </w:rPr>
        <w:t>Appendix 2 – Functional Facility Hierarchy Classification</w:t>
      </w:r>
      <w:bookmarkEnd w:id="111"/>
      <w:bookmarkEnd w:id="112"/>
      <w:bookmarkEnd w:id="113"/>
      <w:bookmarkEnd w:id="114"/>
      <w:bookmarkEnd w:id="115"/>
      <w:bookmarkEnd w:id="116"/>
      <w:bookmarkEnd w:id="117"/>
      <w:bookmarkEnd w:id="118"/>
      <w:bookmarkEnd w:id="119"/>
    </w:p>
    <w:p w:rsidR="00D02973" w:rsidRPr="00EA2F26" w:rsidRDefault="00D02973" w:rsidP="00D02973">
      <w:pPr>
        <w:pStyle w:val="CTAMPBody"/>
        <w:spacing w:after="120"/>
        <w:jc w:val="left"/>
        <w:rPr>
          <w:rFonts w:asciiTheme="minorHAnsi" w:hAnsiTheme="minorHAnsi"/>
          <w:sz w:val="22"/>
          <w:szCs w:val="22"/>
        </w:rPr>
      </w:pPr>
      <w:r w:rsidRPr="00EA2F26">
        <w:rPr>
          <w:rFonts w:asciiTheme="minorHAnsi" w:hAnsiTheme="minorHAnsi"/>
          <w:sz w:val="22"/>
          <w:szCs w:val="22"/>
        </w:rPr>
        <w:t xml:space="preserve">The recommended Bayside Functional Recreation and Open Space Hierarchy is categorised in </w:t>
      </w:r>
      <w:r w:rsidRPr="00EA2F26">
        <w:rPr>
          <w:rFonts w:asciiTheme="minorHAnsi" w:hAnsiTheme="minorHAnsi"/>
          <w:b/>
          <w:sz w:val="22"/>
          <w:szCs w:val="22"/>
        </w:rPr>
        <w:t>Appendix 1</w:t>
      </w:r>
      <w:r w:rsidRPr="00EA2F26">
        <w:rPr>
          <w:rFonts w:asciiTheme="minorHAnsi" w:hAnsiTheme="minorHAnsi"/>
          <w:sz w:val="22"/>
          <w:szCs w:val="22"/>
        </w:rPr>
        <w:t xml:space="preserve"> and further description is as follows:</w:t>
      </w:r>
    </w:p>
    <w:p w:rsidR="00D02973" w:rsidRPr="00EA2F26" w:rsidRDefault="00D02973" w:rsidP="00D02973">
      <w:pPr>
        <w:pStyle w:val="CTAMPBody"/>
        <w:spacing w:after="120"/>
        <w:jc w:val="left"/>
        <w:rPr>
          <w:rFonts w:asciiTheme="minorHAnsi" w:hAnsiTheme="minorHAnsi"/>
          <w:sz w:val="22"/>
          <w:szCs w:val="22"/>
        </w:rPr>
      </w:pPr>
      <w:r w:rsidRPr="00EA2F26">
        <w:rPr>
          <w:rStyle w:val="CTAMPBodyBoldChar"/>
          <w:rFonts w:asciiTheme="minorHAnsi" w:eastAsia="Calibri" w:hAnsiTheme="minorHAnsi"/>
          <w:sz w:val="22"/>
          <w:szCs w:val="22"/>
        </w:rPr>
        <w:t>Category 1 – National/State Significance:</w:t>
      </w:r>
      <w:r w:rsidRPr="00EA2F26">
        <w:rPr>
          <w:rFonts w:asciiTheme="minorHAnsi" w:hAnsiTheme="minorHAnsi"/>
          <w:sz w:val="22"/>
          <w:szCs w:val="22"/>
        </w:rPr>
        <w:t xml:space="preserve"> Public facilities utilised to deliver services of significance to the State or Nation.  Generally only one facility of this nature would exist in the state.</w:t>
      </w:r>
    </w:p>
    <w:p w:rsidR="00D02973" w:rsidRPr="00EA2F26" w:rsidRDefault="00D02973" w:rsidP="00D02973">
      <w:pPr>
        <w:pStyle w:val="CTAMPBody"/>
        <w:spacing w:after="120"/>
        <w:jc w:val="left"/>
        <w:rPr>
          <w:rFonts w:asciiTheme="minorHAnsi" w:hAnsiTheme="minorHAnsi"/>
          <w:sz w:val="22"/>
          <w:szCs w:val="22"/>
        </w:rPr>
      </w:pPr>
      <w:r w:rsidRPr="00EA2F26">
        <w:rPr>
          <w:rStyle w:val="CTAMPBodyBoldChar"/>
          <w:rFonts w:asciiTheme="minorHAnsi" w:eastAsia="Calibri" w:hAnsiTheme="minorHAnsi"/>
          <w:sz w:val="22"/>
          <w:szCs w:val="22"/>
        </w:rPr>
        <w:t>Category 2 – Regional Significance:</w:t>
      </w:r>
      <w:r w:rsidRPr="00EA2F26">
        <w:rPr>
          <w:rFonts w:asciiTheme="minorHAnsi" w:hAnsiTheme="minorHAnsi"/>
          <w:sz w:val="22"/>
          <w:szCs w:val="22"/>
        </w:rPr>
        <w:t xml:space="preserve"> These types of facilities provide for functions that are of regional significance, i.e. a large proportion of users come from outside of the district.  Generally only one facility of this nature would exist within the region.  A facility of this nature would have a high usage rate and could be expected to be multi-purpose or single purpose.</w:t>
      </w:r>
    </w:p>
    <w:p w:rsidR="00D02973" w:rsidRPr="00EA2F26" w:rsidRDefault="00D02973" w:rsidP="00D02973">
      <w:pPr>
        <w:pStyle w:val="CTAMPBody"/>
        <w:spacing w:after="120"/>
        <w:jc w:val="left"/>
        <w:rPr>
          <w:rFonts w:asciiTheme="minorHAnsi" w:hAnsiTheme="minorHAnsi"/>
          <w:sz w:val="22"/>
          <w:szCs w:val="22"/>
        </w:rPr>
      </w:pPr>
      <w:r w:rsidRPr="00EA2F26">
        <w:rPr>
          <w:rStyle w:val="CTAMPBodyBoldChar"/>
          <w:rFonts w:asciiTheme="minorHAnsi" w:eastAsia="Calibri" w:hAnsiTheme="minorHAnsi"/>
          <w:sz w:val="22"/>
          <w:szCs w:val="22"/>
        </w:rPr>
        <w:t>Category 3 – District Significance:</w:t>
      </w:r>
      <w:r w:rsidRPr="00EA2F26">
        <w:rPr>
          <w:rFonts w:asciiTheme="minorHAnsi" w:hAnsiTheme="minorHAnsi"/>
          <w:sz w:val="22"/>
          <w:szCs w:val="22"/>
        </w:rPr>
        <w:t xml:space="preserve"> These types of facilities provide for functions that are of significance to the district.  They are used mainly by people living within the municipal district and from across municipal boundaries.  Examples would be foreshore reserves, major open space reserves, sports ovals or skate-park.  Facilities of this nature would have high frequency of use and could be multipurpose or single purpose.</w:t>
      </w:r>
    </w:p>
    <w:p w:rsidR="00D02973" w:rsidRPr="00EA2F26" w:rsidRDefault="00D02973" w:rsidP="00D02973">
      <w:pPr>
        <w:pStyle w:val="CTAMPBody"/>
        <w:spacing w:after="120"/>
        <w:jc w:val="left"/>
        <w:rPr>
          <w:rFonts w:asciiTheme="minorHAnsi" w:hAnsiTheme="minorHAnsi"/>
          <w:sz w:val="22"/>
          <w:szCs w:val="22"/>
        </w:rPr>
      </w:pPr>
      <w:r w:rsidRPr="00EA2F26">
        <w:rPr>
          <w:rStyle w:val="CTAMPBodyBoldChar"/>
          <w:rFonts w:asciiTheme="minorHAnsi" w:eastAsia="Calibri" w:hAnsiTheme="minorHAnsi"/>
          <w:sz w:val="22"/>
          <w:szCs w:val="22"/>
        </w:rPr>
        <w:t xml:space="preserve">Category 4 – Local Area Significance: </w:t>
      </w:r>
      <w:r w:rsidRPr="00EA2F26">
        <w:rPr>
          <w:rFonts w:asciiTheme="minorHAnsi" w:hAnsiTheme="minorHAnsi"/>
          <w:sz w:val="22"/>
          <w:szCs w:val="22"/>
        </w:rPr>
        <w:t>These types of facilities provide for functions that are of local significance.  They are used mainly by people living within a suburb, town, ward or local area.  Examples would be a local park or a well-equipped children’s playground.</w:t>
      </w:r>
    </w:p>
    <w:p w:rsidR="00D02973" w:rsidRPr="00EA2F26" w:rsidRDefault="00D02973" w:rsidP="00D02973">
      <w:pPr>
        <w:pStyle w:val="CTAMPBody"/>
        <w:spacing w:after="120"/>
        <w:jc w:val="left"/>
        <w:rPr>
          <w:rFonts w:asciiTheme="minorHAnsi" w:hAnsiTheme="minorHAnsi"/>
          <w:sz w:val="22"/>
          <w:szCs w:val="22"/>
        </w:rPr>
      </w:pPr>
      <w:r w:rsidRPr="00EA2F26">
        <w:rPr>
          <w:rStyle w:val="CTAMPBodyBoldChar"/>
          <w:rFonts w:asciiTheme="minorHAnsi" w:eastAsia="Calibri" w:hAnsiTheme="minorHAnsi"/>
          <w:sz w:val="22"/>
          <w:szCs w:val="22"/>
        </w:rPr>
        <w:t>Category 5 – Neighbourhood Significance:</w:t>
      </w:r>
      <w:r w:rsidRPr="00EA2F26">
        <w:rPr>
          <w:rFonts w:asciiTheme="minorHAnsi" w:hAnsiTheme="minorHAnsi"/>
          <w:sz w:val="22"/>
          <w:szCs w:val="22"/>
        </w:rPr>
        <w:t xml:space="preserve"> These types of facilities provide for functions that are of immediate neighbourhood significance.  They are mainly used by people within a block or two of where they live such as a small local children’s playground.</w:t>
      </w:r>
    </w:p>
    <w:p w:rsidR="00D02973" w:rsidRPr="00EA2F26" w:rsidRDefault="00D02973" w:rsidP="00D02973">
      <w:pPr>
        <w:pStyle w:val="Header"/>
        <w:tabs>
          <w:tab w:val="left" w:pos="567"/>
        </w:tabs>
        <w:spacing w:after="120"/>
        <w:outlineLvl w:val="0"/>
        <w:rPr>
          <w:rFonts w:cs="Calibri"/>
          <w:iCs/>
        </w:rPr>
      </w:pPr>
      <w:bookmarkStart w:id="120" w:name="_Toc447796618"/>
      <w:bookmarkStart w:id="121" w:name="_Toc447796962"/>
      <w:bookmarkStart w:id="122" w:name="_Toc447797156"/>
      <w:bookmarkStart w:id="123" w:name="_Toc447892493"/>
      <w:bookmarkStart w:id="124" w:name="_Toc448388978"/>
      <w:bookmarkStart w:id="125" w:name="_Toc448389113"/>
      <w:bookmarkStart w:id="126" w:name="_Toc448475240"/>
      <w:r w:rsidRPr="00EA2F26">
        <w:rPr>
          <w:rFonts w:cs="Calibri"/>
          <w:iCs/>
        </w:rPr>
        <w:t>Ideally, when considering facility networks, every facility would need to meet all of the criteria of one Functional Facility Hierarchy type.  However, many facilities meet some of the criteria appropriate to several different hierarchal types and are designated by determining the majority of criteria that apply.  All must meet at least one ‘AA’ Essential Criteria.</w:t>
      </w:r>
      <w:bookmarkEnd w:id="120"/>
      <w:bookmarkEnd w:id="121"/>
      <w:bookmarkEnd w:id="122"/>
      <w:bookmarkEnd w:id="123"/>
      <w:bookmarkEnd w:id="124"/>
      <w:bookmarkEnd w:id="125"/>
      <w:bookmarkEnd w:id="126"/>
    </w:p>
    <w:p w:rsidR="00D02973" w:rsidRPr="00EA2F26" w:rsidRDefault="00D02973" w:rsidP="00D02973">
      <w:pPr>
        <w:pStyle w:val="Header"/>
        <w:tabs>
          <w:tab w:val="left" w:pos="567"/>
        </w:tabs>
        <w:spacing w:after="60"/>
        <w:ind w:left="284"/>
        <w:outlineLvl w:val="0"/>
        <w:rPr>
          <w:rFonts w:cs="Calibri"/>
          <w:iCs/>
        </w:rPr>
      </w:pPr>
      <w:bookmarkStart w:id="127" w:name="_Toc447796619"/>
      <w:bookmarkStart w:id="128" w:name="_Toc447796963"/>
      <w:bookmarkStart w:id="129" w:name="_Toc447797157"/>
      <w:bookmarkStart w:id="130" w:name="_Toc447892494"/>
      <w:bookmarkStart w:id="131" w:name="_Toc448388979"/>
      <w:bookmarkStart w:id="132" w:name="_Toc448389114"/>
      <w:bookmarkStart w:id="133" w:name="_Toc448475241"/>
      <w:r w:rsidRPr="00EA2F26">
        <w:rPr>
          <w:rFonts w:cs="Calibri"/>
          <w:iCs/>
          <w:u w:val="single"/>
        </w:rPr>
        <w:t>Criterion 1</w:t>
      </w:r>
      <w:r w:rsidRPr="00EA2F26">
        <w:rPr>
          <w:rFonts w:cs="Calibri"/>
          <w:iCs/>
        </w:rPr>
        <w:t>- Predominant Activity</w:t>
      </w:r>
      <w:bookmarkEnd w:id="127"/>
      <w:bookmarkEnd w:id="128"/>
      <w:bookmarkEnd w:id="129"/>
      <w:bookmarkEnd w:id="130"/>
      <w:bookmarkEnd w:id="131"/>
      <w:bookmarkEnd w:id="132"/>
      <w:bookmarkEnd w:id="133"/>
    </w:p>
    <w:p w:rsidR="00D02973" w:rsidRPr="00EA2F26" w:rsidRDefault="00D02973" w:rsidP="00D02973">
      <w:pPr>
        <w:pStyle w:val="Header"/>
        <w:tabs>
          <w:tab w:val="left" w:pos="567"/>
        </w:tabs>
        <w:spacing w:after="60"/>
        <w:ind w:left="567"/>
        <w:outlineLvl w:val="0"/>
        <w:rPr>
          <w:rFonts w:cs="Calibri"/>
          <w:iCs/>
        </w:rPr>
      </w:pPr>
      <w:bookmarkStart w:id="134" w:name="_Toc447796620"/>
      <w:bookmarkStart w:id="135" w:name="_Toc447796964"/>
      <w:bookmarkStart w:id="136" w:name="_Toc447797158"/>
      <w:bookmarkStart w:id="137" w:name="_Toc447892495"/>
      <w:bookmarkStart w:id="138" w:name="_Toc448388980"/>
      <w:bookmarkStart w:id="139" w:name="_Toc448389115"/>
      <w:bookmarkStart w:id="140" w:name="_Toc448475242"/>
      <w:r w:rsidRPr="00EA2F26">
        <w:rPr>
          <w:rFonts w:cs="Calibri"/>
          <w:iCs/>
        </w:rPr>
        <w:t>The main service or purpose that a facility provides</w:t>
      </w:r>
      <w:bookmarkEnd w:id="134"/>
      <w:bookmarkEnd w:id="135"/>
      <w:bookmarkEnd w:id="136"/>
      <w:bookmarkEnd w:id="137"/>
      <w:bookmarkEnd w:id="138"/>
      <w:bookmarkEnd w:id="139"/>
      <w:bookmarkEnd w:id="140"/>
    </w:p>
    <w:p w:rsidR="00D02973" w:rsidRPr="00EA2F26" w:rsidRDefault="00D02973" w:rsidP="00D02973">
      <w:pPr>
        <w:pStyle w:val="Header"/>
        <w:tabs>
          <w:tab w:val="left" w:pos="567"/>
        </w:tabs>
        <w:spacing w:after="60"/>
        <w:ind w:left="284"/>
        <w:outlineLvl w:val="0"/>
        <w:rPr>
          <w:rFonts w:cs="Calibri"/>
          <w:iCs/>
        </w:rPr>
      </w:pPr>
      <w:bookmarkStart w:id="141" w:name="_Toc447796621"/>
      <w:bookmarkStart w:id="142" w:name="_Toc447796965"/>
      <w:bookmarkStart w:id="143" w:name="_Toc447797159"/>
      <w:bookmarkStart w:id="144" w:name="_Toc447892496"/>
      <w:bookmarkStart w:id="145" w:name="_Toc448388981"/>
      <w:bookmarkStart w:id="146" w:name="_Toc448389116"/>
      <w:bookmarkStart w:id="147" w:name="_Toc448475243"/>
      <w:r w:rsidRPr="00EA2F26">
        <w:rPr>
          <w:rFonts w:cs="Calibri"/>
          <w:iCs/>
          <w:u w:val="single"/>
        </w:rPr>
        <w:t>Criterion 2</w:t>
      </w:r>
      <w:r w:rsidRPr="00EA2F26">
        <w:rPr>
          <w:rFonts w:cs="Calibri"/>
          <w:iCs/>
        </w:rPr>
        <w:t>- Historical Significance</w:t>
      </w:r>
      <w:bookmarkEnd w:id="141"/>
      <w:bookmarkEnd w:id="142"/>
      <w:bookmarkEnd w:id="143"/>
      <w:bookmarkEnd w:id="144"/>
      <w:bookmarkEnd w:id="145"/>
      <w:bookmarkEnd w:id="146"/>
      <w:bookmarkEnd w:id="147"/>
    </w:p>
    <w:p w:rsidR="00D02973" w:rsidRPr="00EA2F26" w:rsidRDefault="00D02973" w:rsidP="00D02973">
      <w:pPr>
        <w:pStyle w:val="Header"/>
        <w:tabs>
          <w:tab w:val="left" w:pos="567"/>
        </w:tabs>
        <w:spacing w:after="60"/>
        <w:ind w:left="567"/>
        <w:outlineLvl w:val="0"/>
        <w:rPr>
          <w:rFonts w:cs="Calibri"/>
          <w:iCs/>
        </w:rPr>
      </w:pPr>
      <w:bookmarkStart w:id="148" w:name="_Toc447796622"/>
      <w:bookmarkStart w:id="149" w:name="_Toc447796966"/>
      <w:bookmarkStart w:id="150" w:name="_Toc447797160"/>
      <w:bookmarkStart w:id="151" w:name="_Toc447892497"/>
      <w:bookmarkStart w:id="152" w:name="_Toc448388982"/>
      <w:bookmarkStart w:id="153" w:name="_Toc448389117"/>
      <w:bookmarkStart w:id="154" w:name="_Toc448475244"/>
      <w:r w:rsidRPr="00EA2F26">
        <w:rPr>
          <w:rFonts w:cs="Calibri"/>
          <w:iCs/>
        </w:rPr>
        <w:t>The heritage value the facility has to the community as defined by national, state and local heritage registers.   Significant State tourist destinations may require a higher standard than will usually apply because of tourist recognition and iconic status</w:t>
      </w:r>
      <w:bookmarkEnd w:id="148"/>
      <w:bookmarkEnd w:id="149"/>
      <w:bookmarkEnd w:id="150"/>
      <w:bookmarkEnd w:id="151"/>
      <w:bookmarkEnd w:id="152"/>
      <w:bookmarkEnd w:id="153"/>
      <w:bookmarkEnd w:id="154"/>
    </w:p>
    <w:p w:rsidR="00D02973" w:rsidRPr="00EA2F26" w:rsidRDefault="00D02973" w:rsidP="00D02973">
      <w:pPr>
        <w:pStyle w:val="Header"/>
        <w:tabs>
          <w:tab w:val="left" w:pos="567"/>
        </w:tabs>
        <w:spacing w:after="60"/>
        <w:ind w:left="284"/>
        <w:outlineLvl w:val="0"/>
        <w:rPr>
          <w:rFonts w:cs="Calibri"/>
          <w:iCs/>
        </w:rPr>
      </w:pPr>
      <w:bookmarkStart w:id="155" w:name="_Toc447796623"/>
      <w:bookmarkStart w:id="156" w:name="_Toc447796967"/>
      <w:bookmarkStart w:id="157" w:name="_Toc447797161"/>
      <w:bookmarkStart w:id="158" w:name="_Toc447892498"/>
      <w:bookmarkStart w:id="159" w:name="_Toc448388983"/>
      <w:bookmarkStart w:id="160" w:name="_Toc448389118"/>
      <w:bookmarkStart w:id="161" w:name="_Toc448475245"/>
      <w:r w:rsidRPr="00EA2F26">
        <w:rPr>
          <w:rFonts w:cs="Calibri"/>
          <w:iCs/>
          <w:u w:val="single"/>
        </w:rPr>
        <w:t>Criterion 3</w:t>
      </w:r>
      <w:r w:rsidRPr="00EA2F26">
        <w:rPr>
          <w:rFonts w:cs="Calibri"/>
          <w:iCs/>
        </w:rPr>
        <w:t>- Social/Cultural Value or Economic Benefit</w:t>
      </w:r>
      <w:bookmarkEnd w:id="155"/>
      <w:bookmarkEnd w:id="156"/>
      <w:bookmarkEnd w:id="157"/>
      <w:bookmarkEnd w:id="158"/>
      <w:bookmarkEnd w:id="159"/>
      <w:bookmarkEnd w:id="160"/>
      <w:bookmarkEnd w:id="161"/>
    </w:p>
    <w:p w:rsidR="00D02973" w:rsidRPr="00EA2F26" w:rsidRDefault="00D02973" w:rsidP="00D02973">
      <w:pPr>
        <w:pStyle w:val="Header"/>
        <w:tabs>
          <w:tab w:val="left" w:pos="567"/>
        </w:tabs>
        <w:spacing w:after="60"/>
        <w:ind w:left="567"/>
        <w:outlineLvl w:val="0"/>
        <w:rPr>
          <w:rFonts w:cs="Calibri"/>
          <w:iCs/>
        </w:rPr>
      </w:pPr>
      <w:bookmarkStart w:id="162" w:name="_Toc447796624"/>
      <w:bookmarkStart w:id="163" w:name="_Toc447796968"/>
      <w:bookmarkStart w:id="164" w:name="_Toc447797162"/>
      <w:bookmarkStart w:id="165" w:name="_Toc447892499"/>
      <w:bookmarkStart w:id="166" w:name="_Toc448388984"/>
      <w:bookmarkStart w:id="167" w:name="_Toc448389119"/>
      <w:bookmarkStart w:id="168" w:name="_Toc448475246"/>
      <w:r w:rsidRPr="00EA2F26">
        <w:rPr>
          <w:rFonts w:cs="Calibri"/>
          <w:iCs/>
        </w:rPr>
        <w:t>The importance the community places on having the facility, or the level of economic benefit the facility either provides directly or indirectly by assisting in service delivery</w:t>
      </w:r>
      <w:bookmarkEnd w:id="162"/>
      <w:bookmarkEnd w:id="163"/>
      <w:bookmarkEnd w:id="164"/>
      <w:bookmarkEnd w:id="165"/>
      <w:bookmarkEnd w:id="166"/>
      <w:bookmarkEnd w:id="167"/>
      <w:bookmarkEnd w:id="168"/>
    </w:p>
    <w:p w:rsidR="00D02973" w:rsidRPr="00EA2F26" w:rsidRDefault="00D02973" w:rsidP="00D02973">
      <w:pPr>
        <w:pStyle w:val="Header"/>
        <w:tabs>
          <w:tab w:val="left" w:pos="567"/>
        </w:tabs>
        <w:spacing w:after="60"/>
        <w:ind w:left="284"/>
        <w:outlineLvl w:val="0"/>
        <w:rPr>
          <w:rFonts w:cs="Calibri"/>
          <w:iCs/>
        </w:rPr>
      </w:pPr>
      <w:bookmarkStart w:id="169" w:name="_Toc447796625"/>
      <w:bookmarkStart w:id="170" w:name="_Toc447796969"/>
      <w:bookmarkStart w:id="171" w:name="_Toc447797163"/>
      <w:bookmarkStart w:id="172" w:name="_Toc447892500"/>
      <w:bookmarkStart w:id="173" w:name="_Toc448388985"/>
      <w:bookmarkStart w:id="174" w:name="_Toc448389120"/>
      <w:bookmarkStart w:id="175" w:name="_Toc448475247"/>
      <w:r w:rsidRPr="00EA2F26">
        <w:rPr>
          <w:rFonts w:cs="Calibri"/>
          <w:iCs/>
          <w:u w:val="single"/>
        </w:rPr>
        <w:t>Criterion 4</w:t>
      </w:r>
      <w:r w:rsidRPr="00EA2F26">
        <w:rPr>
          <w:rFonts w:cs="Calibri"/>
          <w:iCs/>
        </w:rPr>
        <w:t>- Network</w:t>
      </w:r>
      <w:bookmarkEnd w:id="169"/>
      <w:bookmarkEnd w:id="170"/>
      <w:bookmarkEnd w:id="171"/>
      <w:bookmarkEnd w:id="172"/>
      <w:bookmarkEnd w:id="173"/>
      <w:bookmarkEnd w:id="174"/>
      <w:bookmarkEnd w:id="175"/>
    </w:p>
    <w:p w:rsidR="00D02973" w:rsidRPr="00EA2F26" w:rsidRDefault="00D02973" w:rsidP="00D02973">
      <w:pPr>
        <w:pStyle w:val="Header"/>
        <w:tabs>
          <w:tab w:val="left" w:pos="567"/>
        </w:tabs>
        <w:spacing w:after="60"/>
        <w:ind w:left="567"/>
        <w:outlineLvl w:val="0"/>
        <w:rPr>
          <w:rFonts w:cs="Calibri"/>
          <w:iCs/>
        </w:rPr>
      </w:pPr>
      <w:bookmarkStart w:id="176" w:name="_Toc447796626"/>
      <w:bookmarkStart w:id="177" w:name="_Toc447796970"/>
      <w:bookmarkStart w:id="178" w:name="_Toc447797164"/>
      <w:bookmarkStart w:id="179" w:name="_Toc447892501"/>
      <w:bookmarkStart w:id="180" w:name="_Toc448388986"/>
      <w:bookmarkStart w:id="181" w:name="_Toc448389121"/>
      <w:bookmarkStart w:id="182" w:name="_Toc448475248"/>
      <w:r w:rsidRPr="00EA2F26">
        <w:rPr>
          <w:rFonts w:cs="Calibri"/>
          <w:iCs/>
        </w:rPr>
        <w:t>Whether the facility forms part of a network of similar facilities across a given area</w:t>
      </w:r>
      <w:r w:rsidRPr="00EA2F26">
        <w:rPr>
          <w:rFonts w:cs="Calibri"/>
          <w:iCs/>
        </w:rPr>
        <w:br/>
        <w:t>i.e. the impact the facility has on the network if it is removed from service.</w:t>
      </w:r>
      <w:bookmarkEnd w:id="176"/>
      <w:bookmarkEnd w:id="177"/>
      <w:bookmarkEnd w:id="178"/>
      <w:bookmarkEnd w:id="179"/>
      <w:bookmarkEnd w:id="180"/>
      <w:bookmarkEnd w:id="181"/>
      <w:bookmarkEnd w:id="182"/>
    </w:p>
    <w:p w:rsidR="00D02973" w:rsidRPr="00EA2F26" w:rsidRDefault="00D02973" w:rsidP="00D02973">
      <w:pPr>
        <w:sectPr w:rsidR="00D02973" w:rsidRPr="00EA2F26" w:rsidSect="00DB539A">
          <w:headerReference w:type="first" r:id="rId37"/>
          <w:footerReference w:type="first" r:id="rId38"/>
          <w:pgSz w:w="11907" w:h="16839" w:code="9"/>
          <w:pgMar w:top="1440" w:right="1440" w:bottom="1985" w:left="1440" w:header="708" w:footer="283" w:gutter="0"/>
          <w:cols w:space="708"/>
          <w:titlePg/>
          <w:docGrid w:linePitch="360"/>
        </w:sectPr>
      </w:pPr>
    </w:p>
    <w:p w:rsidR="00D02973" w:rsidRPr="00021EBB" w:rsidRDefault="00D02973" w:rsidP="00D02973">
      <w:pPr>
        <w:pStyle w:val="Heading2"/>
        <w:spacing w:before="120" w:after="200"/>
        <w:rPr>
          <w:rFonts w:asciiTheme="minorHAnsi" w:hAnsiTheme="minorHAnsi"/>
          <w:color w:val="auto"/>
        </w:rPr>
      </w:pPr>
      <w:bookmarkStart w:id="183" w:name="_Toc447796627"/>
      <w:bookmarkStart w:id="184" w:name="_Toc447796971"/>
      <w:bookmarkStart w:id="185" w:name="_Toc447797165"/>
      <w:bookmarkStart w:id="186" w:name="_Toc447892502"/>
      <w:bookmarkStart w:id="187" w:name="_Toc448388987"/>
      <w:bookmarkStart w:id="188" w:name="_Toc448389122"/>
      <w:bookmarkStart w:id="189" w:name="_Toc448475249"/>
      <w:r w:rsidRPr="00021EBB">
        <w:rPr>
          <w:rFonts w:asciiTheme="minorHAnsi" w:hAnsiTheme="minorHAnsi"/>
          <w:color w:val="auto"/>
        </w:rPr>
        <w:t>Appendix 3 Response Times - Request for Service</w:t>
      </w:r>
      <w:bookmarkEnd w:id="183"/>
      <w:bookmarkEnd w:id="184"/>
      <w:bookmarkEnd w:id="185"/>
      <w:bookmarkEnd w:id="186"/>
      <w:bookmarkEnd w:id="187"/>
      <w:bookmarkEnd w:id="188"/>
      <w:bookmarkEnd w:id="189"/>
    </w:p>
    <w:p w:rsidR="00D02973" w:rsidRPr="00EA2F26" w:rsidRDefault="00D02973" w:rsidP="00D02973"/>
    <w:tbl>
      <w:tblPr>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
        <w:gridCol w:w="1673"/>
        <w:gridCol w:w="4110"/>
        <w:gridCol w:w="1730"/>
        <w:gridCol w:w="1559"/>
      </w:tblGrid>
      <w:tr w:rsidR="00D02973" w:rsidRPr="00EA2F26" w:rsidTr="00DF2FAC">
        <w:trPr>
          <w:trHeight w:val="99"/>
        </w:trPr>
        <w:tc>
          <w:tcPr>
            <w:tcW w:w="9742" w:type="dxa"/>
            <w:gridSpan w:val="5"/>
          </w:tcPr>
          <w:p w:rsidR="00D02973" w:rsidRPr="00EA2F26" w:rsidRDefault="00D02973" w:rsidP="00DF2FAC">
            <w:pPr>
              <w:autoSpaceDE w:val="0"/>
              <w:autoSpaceDN w:val="0"/>
              <w:adjustRightInd w:val="0"/>
              <w:rPr>
                <w:rFonts w:cs="Calibri"/>
                <w:sz w:val="20"/>
                <w:szCs w:val="20"/>
              </w:rPr>
            </w:pPr>
            <w:r w:rsidRPr="00EA2F26">
              <w:rPr>
                <w:rFonts w:cs="Calibri"/>
                <w:b/>
                <w:bCs/>
                <w:sz w:val="20"/>
                <w:szCs w:val="20"/>
              </w:rPr>
              <w:t xml:space="preserve">The Contractor shall respond to any complaints or requests for maintenance service within the times below. </w:t>
            </w:r>
          </w:p>
        </w:tc>
      </w:tr>
      <w:tr w:rsidR="00D02973" w:rsidRPr="00EA2F26" w:rsidTr="00DF2FAC">
        <w:trPr>
          <w:trHeight w:val="271"/>
        </w:trPr>
        <w:tc>
          <w:tcPr>
            <w:tcW w:w="670" w:type="dxa"/>
          </w:tcPr>
          <w:p w:rsidR="00D02973" w:rsidRPr="00EA2F26" w:rsidRDefault="00D02973" w:rsidP="00DF2FAC">
            <w:pPr>
              <w:autoSpaceDE w:val="0"/>
              <w:autoSpaceDN w:val="0"/>
              <w:adjustRightInd w:val="0"/>
              <w:rPr>
                <w:rFonts w:cs="Calibri"/>
                <w:sz w:val="20"/>
                <w:szCs w:val="20"/>
              </w:rPr>
            </w:pPr>
            <w:r w:rsidRPr="00EA2F26">
              <w:rPr>
                <w:rFonts w:cs="Calibri"/>
                <w:b/>
                <w:bCs/>
                <w:sz w:val="20"/>
                <w:szCs w:val="20"/>
              </w:rPr>
              <w:t xml:space="preserve">Level </w:t>
            </w:r>
          </w:p>
        </w:tc>
        <w:tc>
          <w:tcPr>
            <w:tcW w:w="1673" w:type="dxa"/>
          </w:tcPr>
          <w:p w:rsidR="00D02973" w:rsidRPr="00EA2F26" w:rsidRDefault="00D02973" w:rsidP="00DF2FAC">
            <w:pPr>
              <w:autoSpaceDE w:val="0"/>
              <w:autoSpaceDN w:val="0"/>
              <w:adjustRightInd w:val="0"/>
              <w:rPr>
                <w:rFonts w:cs="Calibri"/>
                <w:sz w:val="20"/>
                <w:szCs w:val="20"/>
              </w:rPr>
            </w:pPr>
            <w:r w:rsidRPr="00EA2F26">
              <w:rPr>
                <w:rFonts w:cs="Calibri"/>
                <w:b/>
                <w:bCs/>
                <w:sz w:val="20"/>
                <w:szCs w:val="20"/>
              </w:rPr>
              <w:t xml:space="preserve">Intervention Type </w:t>
            </w:r>
          </w:p>
        </w:tc>
        <w:tc>
          <w:tcPr>
            <w:tcW w:w="4110" w:type="dxa"/>
          </w:tcPr>
          <w:p w:rsidR="00D02973" w:rsidRPr="00EA2F26" w:rsidRDefault="00D02973" w:rsidP="00DF2FAC">
            <w:pPr>
              <w:autoSpaceDE w:val="0"/>
              <w:autoSpaceDN w:val="0"/>
              <w:adjustRightInd w:val="0"/>
              <w:rPr>
                <w:rFonts w:cs="Calibri"/>
                <w:sz w:val="20"/>
                <w:szCs w:val="20"/>
              </w:rPr>
            </w:pPr>
            <w:r w:rsidRPr="00EA2F26">
              <w:rPr>
                <w:rFonts w:cs="Calibri"/>
                <w:b/>
                <w:bCs/>
                <w:sz w:val="20"/>
                <w:szCs w:val="20"/>
              </w:rPr>
              <w:t xml:space="preserve">Description </w:t>
            </w:r>
          </w:p>
        </w:tc>
        <w:tc>
          <w:tcPr>
            <w:tcW w:w="1730" w:type="dxa"/>
          </w:tcPr>
          <w:p w:rsidR="00D02973" w:rsidRPr="00EA2F26" w:rsidRDefault="00D02973" w:rsidP="00DF2FAC">
            <w:pPr>
              <w:autoSpaceDE w:val="0"/>
              <w:autoSpaceDN w:val="0"/>
              <w:adjustRightInd w:val="0"/>
              <w:rPr>
                <w:rFonts w:cs="Calibri"/>
                <w:sz w:val="20"/>
                <w:szCs w:val="20"/>
              </w:rPr>
            </w:pPr>
            <w:r w:rsidRPr="00EA2F26">
              <w:rPr>
                <w:rFonts w:cs="Calibri"/>
                <w:b/>
                <w:bCs/>
                <w:sz w:val="20"/>
                <w:szCs w:val="20"/>
              </w:rPr>
              <w:t xml:space="preserve">Response Time </w:t>
            </w:r>
          </w:p>
          <w:p w:rsidR="00D02973" w:rsidRPr="00EA2F26" w:rsidRDefault="00D02973" w:rsidP="00DF2FAC">
            <w:pPr>
              <w:autoSpaceDE w:val="0"/>
              <w:autoSpaceDN w:val="0"/>
              <w:adjustRightInd w:val="0"/>
              <w:rPr>
                <w:rFonts w:cs="Calibri"/>
                <w:sz w:val="20"/>
                <w:szCs w:val="20"/>
              </w:rPr>
            </w:pPr>
            <w:r w:rsidRPr="00EA2F26">
              <w:rPr>
                <w:rFonts w:cs="Calibri"/>
                <w:b/>
                <w:bCs/>
                <w:sz w:val="20"/>
                <w:szCs w:val="20"/>
              </w:rPr>
              <w:t xml:space="preserve">Inspection On-site </w:t>
            </w:r>
          </w:p>
        </w:tc>
        <w:tc>
          <w:tcPr>
            <w:tcW w:w="1559" w:type="dxa"/>
          </w:tcPr>
          <w:p w:rsidR="00D02973" w:rsidRPr="00EA2F26" w:rsidRDefault="00D02973" w:rsidP="00DF2FAC">
            <w:pPr>
              <w:autoSpaceDE w:val="0"/>
              <w:autoSpaceDN w:val="0"/>
              <w:adjustRightInd w:val="0"/>
              <w:rPr>
                <w:rFonts w:cs="Calibri"/>
                <w:sz w:val="20"/>
                <w:szCs w:val="20"/>
              </w:rPr>
            </w:pPr>
            <w:r w:rsidRPr="00EA2F26">
              <w:rPr>
                <w:rFonts w:cs="Calibri"/>
                <w:b/>
                <w:bCs/>
                <w:sz w:val="20"/>
                <w:szCs w:val="20"/>
              </w:rPr>
              <w:t xml:space="preserve">Completion Time </w:t>
            </w:r>
          </w:p>
        </w:tc>
      </w:tr>
      <w:tr w:rsidR="00D02973" w:rsidRPr="00EA2F26" w:rsidTr="00DF2FAC">
        <w:trPr>
          <w:trHeight w:val="861"/>
        </w:trPr>
        <w:tc>
          <w:tcPr>
            <w:tcW w:w="670" w:type="dxa"/>
          </w:tcPr>
          <w:p w:rsidR="00D02973" w:rsidRPr="00EA2F26" w:rsidRDefault="00D02973" w:rsidP="00DF2FAC">
            <w:pPr>
              <w:autoSpaceDE w:val="0"/>
              <w:autoSpaceDN w:val="0"/>
              <w:adjustRightInd w:val="0"/>
              <w:rPr>
                <w:rFonts w:cs="Calibri"/>
                <w:sz w:val="20"/>
                <w:szCs w:val="20"/>
              </w:rPr>
            </w:pPr>
            <w:r w:rsidRPr="00EA2F26">
              <w:rPr>
                <w:rFonts w:cs="Calibri"/>
                <w:b/>
                <w:bCs/>
                <w:sz w:val="20"/>
                <w:szCs w:val="20"/>
              </w:rPr>
              <w:t xml:space="preserve">1 </w:t>
            </w:r>
          </w:p>
        </w:tc>
        <w:tc>
          <w:tcPr>
            <w:tcW w:w="1673" w:type="dxa"/>
          </w:tcPr>
          <w:p w:rsidR="00D02973" w:rsidRPr="00EA2F26" w:rsidRDefault="00D02973" w:rsidP="00DF2FAC">
            <w:pPr>
              <w:autoSpaceDE w:val="0"/>
              <w:autoSpaceDN w:val="0"/>
              <w:adjustRightInd w:val="0"/>
              <w:rPr>
                <w:rFonts w:cs="Calibri"/>
                <w:sz w:val="20"/>
                <w:szCs w:val="20"/>
              </w:rPr>
            </w:pPr>
            <w:r w:rsidRPr="00EA2F26">
              <w:rPr>
                <w:rFonts w:cs="Calibri"/>
                <w:b/>
                <w:bCs/>
                <w:sz w:val="20"/>
                <w:szCs w:val="20"/>
              </w:rPr>
              <w:t xml:space="preserve">Emergency Response (including call outs) </w:t>
            </w:r>
          </w:p>
        </w:tc>
        <w:tc>
          <w:tcPr>
            <w:tcW w:w="4110" w:type="dxa"/>
          </w:tcPr>
          <w:p w:rsidR="00D02973" w:rsidRPr="00EA2F26" w:rsidRDefault="00D02973" w:rsidP="00DF2FAC">
            <w:pPr>
              <w:autoSpaceDE w:val="0"/>
              <w:autoSpaceDN w:val="0"/>
              <w:adjustRightInd w:val="0"/>
              <w:rPr>
                <w:rFonts w:cs="Calibri"/>
                <w:sz w:val="20"/>
                <w:szCs w:val="20"/>
              </w:rPr>
            </w:pPr>
            <w:r w:rsidRPr="00EA2F26">
              <w:rPr>
                <w:rFonts w:cs="Calibri"/>
                <w:sz w:val="20"/>
                <w:szCs w:val="20"/>
              </w:rPr>
              <w:t xml:space="preserve">Includes after hours call-outs. Works required to render safe any potentially dangerous situations that may be life threatening or detrimental to public health or safety or there has been a breach of asset security. </w:t>
            </w:r>
          </w:p>
          <w:p w:rsidR="00D02973" w:rsidRPr="00EA2F26" w:rsidRDefault="00D02973" w:rsidP="00DF2FAC">
            <w:pPr>
              <w:autoSpaceDE w:val="0"/>
              <w:autoSpaceDN w:val="0"/>
              <w:adjustRightInd w:val="0"/>
              <w:rPr>
                <w:rFonts w:cs="Calibri"/>
                <w:sz w:val="20"/>
                <w:szCs w:val="20"/>
              </w:rPr>
            </w:pPr>
            <w:r w:rsidRPr="00EA2F26">
              <w:rPr>
                <w:rFonts w:cs="Calibri"/>
                <w:sz w:val="20"/>
                <w:szCs w:val="20"/>
              </w:rPr>
              <w:t xml:space="preserve">Action: Attend on-site &amp; make safe </w:t>
            </w:r>
          </w:p>
        </w:tc>
        <w:tc>
          <w:tcPr>
            <w:tcW w:w="1730" w:type="dxa"/>
          </w:tcPr>
          <w:p w:rsidR="00D02973" w:rsidRPr="00EA2F26" w:rsidRDefault="00D02973" w:rsidP="00DF2FAC">
            <w:pPr>
              <w:autoSpaceDE w:val="0"/>
              <w:autoSpaceDN w:val="0"/>
              <w:adjustRightInd w:val="0"/>
              <w:rPr>
                <w:rFonts w:cs="Calibri"/>
                <w:sz w:val="20"/>
                <w:szCs w:val="20"/>
              </w:rPr>
            </w:pPr>
            <w:r w:rsidRPr="00EA2F26">
              <w:rPr>
                <w:rFonts w:cs="Calibri"/>
                <w:sz w:val="20"/>
                <w:szCs w:val="20"/>
              </w:rPr>
              <w:t xml:space="preserve">All recreation and open spaces </w:t>
            </w:r>
          </w:p>
          <w:p w:rsidR="00D02973" w:rsidRPr="00EA2F26" w:rsidRDefault="00D02973" w:rsidP="00DF2FAC">
            <w:pPr>
              <w:autoSpaceDE w:val="0"/>
              <w:autoSpaceDN w:val="0"/>
              <w:adjustRightInd w:val="0"/>
              <w:rPr>
                <w:rFonts w:cs="Calibri"/>
                <w:sz w:val="20"/>
                <w:szCs w:val="20"/>
              </w:rPr>
            </w:pPr>
          </w:p>
          <w:p w:rsidR="00D02973" w:rsidRPr="00EA2F26" w:rsidRDefault="00D02973" w:rsidP="00DF2FAC">
            <w:pPr>
              <w:autoSpaceDE w:val="0"/>
              <w:autoSpaceDN w:val="0"/>
              <w:adjustRightInd w:val="0"/>
              <w:rPr>
                <w:rFonts w:cs="Calibri"/>
                <w:sz w:val="20"/>
                <w:szCs w:val="20"/>
              </w:rPr>
            </w:pPr>
            <w:r w:rsidRPr="00EA2F26">
              <w:rPr>
                <w:rFonts w:cs="Calibri"/>
                <w:sz w:val="20"/>
                <w:szCs w:val="20"/>
              </w:rPr>
              <w:t>30 minutes</w:t>
            </w:r>
          </w:p>
        </w:tc>
        <w:tc>
          <w:tcPr>
            <w:tcW w:w="1559" w:type="dxa"/>
          </w:tcPr>
          <w:p w:rsidR="00D02973" w:rsidRPr="00EA2F26" w:rsidRDefault="00D02973" w:rsidP="00DF2FAC">
            <w:pPr>
              <w:autoSpaceDE w:val="0"/>
              <w:autoSpaceDN w:val="0"/>
              <w:adjustRightInd w:val="0"/>
              <w:rPr>
                <w:rFonts w:cs="Calibri"/>
                <w:sz w:val="20"/>
                <w:szCs w:val="20"/>
              </w:rPr>
            </w:pPr>
            <w:r w:rsidRPr="00EA2F26">
              <w:rPr>
                <w:rFonts w:cs="Calibri"/>
                <w:sz w:val="20"/>
                <w:szCs w:val="20"/>
              </w:rPr>
              <w:t xml:space="preserve">30 minutes </w:t>
            </w:r>
          </w:p>
        </w:tc>
      </w:tr>
      <w:tr w:rsidR="00D02973" w:rsidRPr="00EA2F26" w:rsidTr="00DF2FAC">
        <w:trPr>
          <w:trHeight w:val="465"/>
        </w:trPr>
        <w:tc>
          <w:tcPr>
            <w:tcW w:w="670" w:type="dxa"/>
          </w:tcPr>
          <w:p w:rsidR="00D02973" w:rsidRPr="00EA2F26" w:rsidRDefault="00D02973" w:rsidP="00DF2FAC">
            <w:pPr>
              <w:autoSpaceDE w:val="0"/>
              <w:autoSpaceDN w:val="0"/>
              <w:adjustRightInd w:val="0"/>
              <w:rPr>
                <w:rFonts w:cs="Calibri"/>
                <w:sz w:val="20"/>
                <w:szCs w:val="20"/>
              </w:rPr>
            </w:pPr>
            <w:r w:rsidRPr="00EA2F26">
              <w:rPr>
                <w:rFonts w:cs="Calibri"/>
                <w:b/>
                <w:bCs/>
                <w:sz w:val="20"/>
                <w:szCs w:val="20"/>
              </w:rPr>
              <w:t xml:space="preserve">2 </w:t>
            </w:r>
          </w:p>
        </w:tc>
        <w:tc>
          <w:tcPr>
            <w:tcW w:w="1673" w:type="dxa"/>
          </w:tcPr>
          <w:p w:rsidR="00D02973" w:rsidRPr="00EA2F26" w:rsidRDefault="00D02973" w:rsidP="00DF2FAC">
            <w:pPr>
              <w:autoSpaceDE w:val="0"/>
              <w:autoSpaceDN w:val="0"/>
              <w:adjustRightInd w:val="0"/>
              <w:rPr>
                <w:rFonts w:cs="Calibri"/>
                <w:sz w:val="20"/>
                <w:szCs w:val="20"/>
              </w:rPr>
            </w:pPr>
            <w:r w:rsidRPr="00EA2F26">
              <w:rPr>
                <w:rFonts w:cs="Calibri"/>
                <w:b/>
                <w:bCs/>
                <w:sz w:val="20"/>
                <w:szCs w:val="20"/>
              </w:rPr>
              <w:t xml:space="preserve">Urgent Response </w:t>
            </w:r>
          </w:p>
        </w:tc>
        <w:tc>
          <w:tcPr>
            <w:tcW w:w="4110" w:type="dxa"/>
          </w:tcPr>
          <w:p w:rsidR="00D02973" w:rsidRPr="00EA2F26" w:rsidRDefault="00D02973" w:rsidP="00DF2FAC">
            <w:pPr>
              <w:autoSpaceDE w:val="0"/>
              <w:autoSpaceDN w:val="0"/>
              <w:adjustRightInd w:val="0"/>
              <w:rPr>
                <w:rFonts w:cs="Calibri"/>
                <w:sz w:val="20"/>
                <w:szCs w:val="20"/>
              </w:rPr>
            </w:pPr>
            <w:r w:rsidRPr="00EA2F26">
              <w:rPr>
                <w:rFonts w:cs="Calibri"/>
                <w:sz w:val="20"/>
                <w:szCs w:val="20"/>
              </w:rPr>
              <w:t xml:space="preserve">This applies to all situations where a hazardous or unsafe condition exists and requires urgent action. Action: Attend on-site &amp; make safe </w:t>
            </w:r>
          </w:p>
        </w:tc>
        <w:tc>
          <w:tcPr>
            <w:tcW w:w="1730" w:type="dxa"/>
          </w:tcPr>
          <w:p w:rsidR="00D02973" w:rsidRPr="00EA2F26" w:rsidRDefault="00D02973" w:rsidP="00DF2FAC">
            <w:pPr>
              <w:autoSpaceDE w:val="0"/>
              <w:autoSpaceDN w:val="0"/>
              <w:adjustRightInd w:val="0"/>
              <w:rPr>
                <w:rFonts w:cs="Calibri"/>
                <w:sz w:val="20"/>
                <w:szCs w:val="20"/>
              </w:rPr>
            </w:pPr>
            <w:r w:rsidRPr="00EA2F26">
              <w:rPr>
                <w:rFonts w:cs="Calibri"/>
                <w:sz w:val="20"/>
                <w:szCs w:val="20"/>
              </w:rPr>
              <w:t xml:space="preserve">2 hours </w:t>
            </w:r>
          </w:p>
        </w:tc>
        <w:tc>
          <w:tcPr>
            <w:tcW w:w="1559" w:type="dxa"/>
          </w:tcPr>
          <w:p w:rsidR="00D02973" w:rsidRPr="00EA2F26" w:rsidRDefault="00D02973" w:rsidP="00DF2FAC">
            <w:pPr>
              <w:autoSpaceDE w:val="0"/>
              <w:autoSpaceDN w:val="0"/>
              <w:adjustRightInd w:val="0"/>
              <w:rPr>
                <w:rFonts w:cs="Calibri"/>
                <w:sz w:val="20"/>
                <w:szCs w:val="20"/>
              </w:rPr>
            </w:pPr>
            <w:r w:rsidRPr="00EA2F26">
              <w:rPr>
                <w:rFonts w:cs="Calibri"/>
                <w:sz w:val="20"/>
                <w:szCs w:val="20"/>
              </w:rPr>
              <w:t>2 hours</w:t>
            </w:r>
          </w:p>
        </w:tc>
      </w:tr>
      <w:tr w:rsidR="00D02973" w:rsidRPr="00EA2F26" w:rsidTr="00DF2FAC">
        <w:trPr>
          <w:trHeight w:val="588"/>
        </w:trPr>
        <w:tc>
          <w:tcPr>
            <w:tcW w:w="670" w:type="dxa"/>
          </w:tcPr>
          <w:p w:rsidR="00D02973" w:rsidRPr="00EA2F26" w:rsidRDefault="00D02973" w:rsidP="00DF2FAC">
            <w:pPr>
              <w:autoSpaceDE w:val="0"/>
              <w:autoSpaceDN w:val="0"/>
              <w:adjustRightInd w:val="0"/>
              <w:rPr>
                <w:rFonts w:cs="Calibri"/>
                <w:sz w:val="20"/>
                <w:szCs w:val="20"/>
              </w:rPr>
            </w:pPr>
            <w:r w:rsidRPr="00EA2F26">
              <w:rPr>
                <w:rFonts w:cs="Calibri"/>
                <w:b/>
                <w:bCs/>
                <w:sz w:val="20"/>
                <w:szCs w:val="20"/>
              </w:rPr>
              <w:t xml:space="preserve">3 </w:t>
            </w:r>
          </w:p>
        </w:tc>
        <w:tc>
          <w:tcPr>
            <w:tcW w:w="1673" w:type="dxa"/>
          </w:tcPr>
          <w:p w:rsidR="00D02973" w:rsidRPr="00EA2F26" w:rsidRDefault="00D02973" w:rsidP="00DF2FAC">
            <w:pPr>
              <w:autoSpaceDE w:val="0"/>
              <w:autoSpaceDN w:val="0"/>
              <w:adjustRightInd w:val="0"/>
              <w:rPr>
                <w:rFonts w:cs="Calibri"/>
                <w:sz w:val="20"/>
                <w:szCs w:val="20"/>
              </w:rPr>
            </w:pPr>
            <w:r w:rsidRPr="00EA2F26">
              <w:rPr>
                <w:rFonts w:cs="Calibri"/>
                <w:b/>
                <w:bCs/>
                <w:sz w:val="20"/>
                <w:szCs w:val="20"/>
              </w:rPr>
              <w:t xml:space="preserve">Important Response </w:t>
            </w:r>
          </w:p>
        </w:tc>
        <w:tc>
          <w:tcPr>
            <w:tcW w:w="4110" w:type="dxa"/>
          </w:tcPr>
          <w:p w:rsidR="00D02973" w:rsidRPr="00EA2F26" w:rsidRDefault="00D02973" w:rsidP="00DF2FAC">
            <w:pPr>
              <w:autoSpaceDE w:val="0"/>
              <w:autoSpaceDN w:val="0"/>
              <w:adjustRightInd w:val="0"/>
              <w:rPr>
                <w:rFonts w:cs="Calibri"/>
                <w:sz w:val="20"/>
                <w:szCs w:val="20"/>
              </w:rPr>
            </w:pPr>
            <w:r w:rsidRPr="00EA2F26">
              <w:rPr>
                <w:rFonts w:cs="Calibri"/>
                <w:sz w:val="20"/>
                <w:szCs w:val="20"/>
              </w:rPr>
              <w:t xml:space="preserve">This level applies to situations where it is considered potentially hazardous to asset users or significantly affects service, but is not considered urgent. Action: Attend on-site &amp; make safe </w:t>
            </w:r>
          </w:p>
        </w:tc>
        <w:tc>
          <w:tcPr>
            <w:tcW w:w="1730" w:type="dxa"/>
          </w:tcPr>
          <w:p w:rsidR="00D02973" w:rsidRPr="00EA2F26" w:rsidRDefault="00D02973" w:rsidP="00DF2FAC">
            <w:pPr>
              <w:autoSpaceDE w:val="0"/>
              <w:autoSpaceDN w:val="0"/>
              <w:adjustRightInd w:val="0"/>
              <w:rPr>
                <w:rFonts w:cs="Calibri"/>
                <w:sz w:val="20"/>
                <w:szCs w:val="20"/>
              </w:rPr>
            </w:pPr>
            <w:r w:rsidRPr="00EA2F26">
              <w:rPr>
                <w:rFonts w:cs="Calibri"/>
                <w:sz w:val="20"/>
                <w:szCs w:val="20"/>
              </w:rPr>
              <w:t xml:space="preserve">2 days </w:t>
            </w:r>
          </w:p>
        </w:tc>
        <w:tc>
          <w:tcPr>
            <w:tcW w:w="1559" w:type="dxa"/>
          </w:tcPr>
          <w:p w:rsidR="00D02973" w:rsidRPr="00EA2F26" w:rsidRDefault="00D02973" w:rsidP="00DF2FAC">
            <w:pPr>
              <w:autoSpaceDE w:val="0"/>
              <w:autoSpaceDN w:val="0"/>
              <w:adjustRightInd w:val="0"/>
              <w:rPr>
                <w:rFonts w:cs="Calibri"/>
                <w:sz w:val="20"/>
                <w:szCs w:val="20"/>
              </w:rPr>
            </w:pPr>
            <w:r w:rsidRPr="00EA2F26">
              <w:rPr>
                <w:rFonts w:cs="Calibri"/>
                <w:sz w:val="20"/>
                <w:szCs w:val="20"/>
              </w:rPr>
              <w:t>2 days</w:t>
            </w:r>
          </w:p>
        </w:tc>
      </w:tr>
      <w:tr w:rsidR="00D02973" w:rsidRPr="00EA2F26" w:rsidTr="00DF2FAC">
        <w:trPr>
          <w:trHeight w:val="277"/>
        </w:trPr>
        <w:tc>
          <w:tcPr>
            <w:tcW w:w="670" w:type="dxa"/>
            <w:vMerge w:val="restart"/>
          </w:tcPr>
          <w:p w:rsidR="00D02973" w:rsidRPr="00EA2F26" w:rsidRDefault="00D02973" w:rsidP="00DF2FAC">
            <w:pPr>
              <w:autoSpaceDE w:val="0"/>
              <w:autoSpaceDN w:val="0"/>
              <w:adjustRightInd w:val="0"/>
              <w:rPr>
                <w:rFonts w:cs="Calibri"/>
                <w:sz w:val="20"/>
                <w:szCs w:val="20"/>
              </w:rPr>
            </w:pPr>
            <w:r w:rsidRPr="00EA2F26">
              <w:rPr>
                <w:rFonts w:cs="Calibri"/>
                <w:b/>
                <w:bCs/>
                <w:sz w:val="20"/>
                <w:szCs w:val="20"/>
              </w:rPr>
              <w:t xml:space="preserve">4 </w:t>
            </w:r>
          </w:p>
        </w:tc>
        <w:tc>
          <w:tcPr>
            <w:tcW w:w="1673" w:type="dxa"/>
          </w:tcPr>
          <w:p w:rsidR="00D02973" w:rsidRPr="00EA2F26" w:rsidRDefault="00D02973" w:rsidP="00DF2FAC">
            <w:pPr>
              <w:autoSpaceDE w:val="0"/>
              <w:autoSpaceDN w:val="0"/>
              <w:adjustRightInd w:val="0"/>
              <w:rPr>
                <w:rFonts w:cs="Calibri"/>
                <w:sz w:val="20"/>
                <w:szCs w:val="20"/>
              </w:rPr>
            </w:pPr>
            <w:r w:rsidRPr="00EA2F26">
              <w:rPr>
                <w:rFonts w:cs="Calibri"/>
                <w:b/>
                <w:bCs/>
                <w:sz w:val="20"/>
                <w:szCs w:val="20"/>
              </w:rPr>
              <w:t>Written response to correspondence</w:t>
            </w:r>
            <w:r>
              <w:rPr>
                <w:rFonts w:cs="Calibri"/>
                <w:b/>
                <w:bCs/>
                <w:sz w:val="20"/>
                <w:szCs w:val="20"/>
              </w:rPr>
              <w:t xml:space="preserve"> (letter)</w:t>
            </w:r>
            <w:r w:rsidRPr="00EA2F26">
              <w:rPr>
                <w:rFonts w:cs="Calibri"/>
                <w:b/>
                <w:bCs/>
                <w:sz w:val="20"/>
                <w:szCs w:val="20"/>
              </w:rPr>
              <w:t xml:space="preserve"> </w:t>
            </w:r>
          </w:p>
        </w:tc>
        <w:tc>
          <w:tcPr>
            <w:tcW w:w="4110" w:type="dxa"/>
          </w:tcPr>
          <w:p w:rsidR="00D02973" w:rsidRPr="00EA2F26" w:rsidRDefault="00D02973" w:rsidP="00DF2FAC">
            <w:pPr>
              <w:autoSpaceDE w:val="0"/>
              <w:autoSpaceDN w:val="0"/>
              <w:adjustRightInd w:val="0"/>
              <w:rPr>
                <w:rFonts w:cs="Calibri"/>
                <w:sz w:val="20"/>
                <w:szCs w:val="20"/>
              </w:rPr>
            </w:pPr>
            <w:r w:rsidRPr="00EA2F26">
              <w:rPr>
                <w:rFonts w:cs="Calibri"/>
                <w:sz w:val="20"/>
                <w:szCs w:val="20"/>
              </w:rPr>
              <w:t xml:space="preserve">As per the Bayside Customer Service Charter </w:t>
            </w:r>
          </w:p>
        </w:tc>
        <w:tc>
          <w:tcPr>
            <w:tcW w:w="1730" w:type="dxa"/>
          </w:tcPr>
          <w:p w:rsidR="00D02973" w:rsidRPr="00EA2F26" w:rsidRDefault="00D02973" w:rsidP="00DF2FAC">
            <w:pPr>
              <w:autoSpaceDE w:val="0"/>
              <w:autoSpaceDN w:val="0"/>
              <w:adjustRightInd w:val="0"/>
              <w:rPr>
                <w:rFonts w:cs="Calibri"/>
                <w:caps/>
                <w:sz w:val="20"/>
                <w:szCs w:val="20"/>
              </w:rPr>
            </w:pPr>
            <w:r w:rsidRPr="00EA2F26">
              <w:rPr>
                <w:rFonts w:cs="Calibri"/>
                <w:sz w:val="20"/>
                <w:szCs w:val="20"/>
              </w:rPr>
              <w:t>N/</w:t>
            </w:r>
            <w:r w:rsidRPr="00EA2F26">
              <w:rPr>
                <w:rFonts w:cs="Calibri"/>
                <w:caps/>
                <w:sz w:val="20"/>
                <w:szCs w:val="20"/>
              </w:rPr>
              <w:t>A</w:t>
            </w:r>
          </w:p>
        </w:tc>
        <w:tc>
          <w:tcPr>
            <w:tcW w:w="1559" w:type="dxa"/>
          </w:tcPr>
          <w:p w:rsidR="00D02973" w:rsidRPr="00EA2F26" w:rsidRDefault="00D02973" w:rsidP="00DF2FAC">
            <w:pPr>
              <w:autoSpaceDE w:val="0"/>
              <w:autoSpaceDN w:val="0"/>
              <w:adjustRightInd w:val="0"/>
              <w:rPr>
                <w:rFonts w:cs="Calibri"/>
                <w:sz w:val="20"/>
                <w:szCs w:val="20"/>
              </w:rPr>
            </w:pPr>
            <w:r>
              <w:rPr>
                <w:rFonts w:cs="Calibri"/>
                <w:sz w:val="20"/>
                <w:szCs w:val="20"/>
              </w:rPr>
              <w:t>10</w:t>
            </w:r>
            <w:r w:rsidRPr="00EA2F26">
              <w:rPr>
                <w:rFonts w:cs="Calibri"/>
                <w:sz w:val="20"/>
                <w:szCs w:val="20"/>
              </w:rPr>
              <w:t xml:space="preserve"> working days </w:t>
            </w:r>
          </w:p>
        </w:tc>
      </w:tr>
      <w:tr w:rsidR="00D02973" w:rsidRPr="00EA2F26" w:rsidTr="00DF2FAC">
        <w:trPr>
          <w:trHeight w:val="276"/>
        </w:trPr>
        <w:tc>
          <w:tcPr>
            <w:tcW w:w="670" w:type="dxa"/>
            <w:vMerge/>
          </w:tcPr>
          <w:p w:rsidR="00D02973" w:rsidRPr="00EA2F26" w:rsidRDefault="00D02973" w:rsidP="00DF2FAC">
            <w:pPr>
              <w:autoSpaceDE w:val="0"/>
              <w:autoSpaceDN w:val="0"/>
              <w:adjustRightInd w:val="0"/>
              <w:rPr>
                <w:rFonts w:cs="Calibri"/>
                <w:b/>
                <w:bCs/>
                <w:sz w:val="20"/>
                <w:szCs w:val="20"/>
              </w:rPr>
            </w:pPr>
          </w:p>
        </w:tc>
        <w:tc>
          <w:tcPr>
            <w:tcW w:w="1673" w:type="dxa"/>
          </w:tcPr>
          <w:p w:rsidR="00D02973" w:rsidRPr="00EA2F26" w:rsidRDefault="00D02973" w:rsidP="00DF2FAC">
            <w:pPr>
              <w:autoSpaceDE w:val="0"/>
              <w:autoSpaceDN w:val="0"/>
              <w:adjustRightInd w:val="0"/>
              <w:rPr>
                <w:rFonts w:cs="Calibri"/>
                <w:b/>
                <w:bCs/>
                <w:sz w:val="20"/>
                <w:szCs w:val="20"/>
              </w:rPr>
            </w:pPr>
            <w:r w:rsidRPr="00EA2F26">
              <w:rPr>
                <w:rFonts w:cs="Calibri"/>
                <w:b/>
                <w:bCs/>
                <w:sz w:val="20"/>
                <w:szCs w:val="20"/>
              </w:rPr>
              <w:t>Written response to correspondence</w:t>
            </w:r>
            <w:r>
              <w:rPr>
                <w:rFonts w:cs="Calibri"/>
                <w:b/>
                <w:bCs/>
                <w:sz w:val="20"/>
                <w:szCs w:val="20"/>
              </w:rPr>
              <w:t xml:space="preserve"> (email)</w:t>
            </w:r>
            <w:r w:rsidRPr="00EA2F26">
              <w:rPr>
                <w:rFonts w:cs="Calibri"/>
                <w:b/>
                <w:bCs/>
                <w:sz w:val="20"/>
                <w:szCs w:val="20"/>
              </w:rPr>
              <w:t xml:space="preserve"> </w:t>
            </w:r>
          </w:p>
        </w:tc>
        <w:tc>
          <w:tcPr>
            <w:tcW w:w="4110" w:type="dxa"/>
          </w:tcPr>
          <w:p w:rsidR="00D02973" w:rsidRPr="00EA2F26" w:rsidRDefault="00D02973" w:rsidP="00DF2FAC">
            <w:pPr>
              <w:autoSpaceDE w:val="0"/>
              <w:autoSpaceDN w:val="0"/>
              <w:adjustRightInd w:val="0"/>
              <w:rPr>
                <w:rFonts w:cs="Calibri"/>
                <w:sz w:val="20"/>
                <w:szCs w:val="20"/>
              </w:rPr>
            </w:pPr>
            <w:r w:rsidRPr="00EA2F26">
              <w:rPr>
                <w:rFonts w:cs="Calibri"/>
                <w:sz w:val="20"/>
                <w:szCs w:val="20"/>
              </w:rPr>
              <w:t xml:space="preserve">As per the Bayside Customer Service Charter </w:t>
            </w:r>
          </w:p>
        </w:tc>
        <w:tc>
          <w:tcPr>
            <w:tcW w:w="1730" w:type="dxa"/>
          </w:tcPr>
          <w:p w:rsidR="00D02973" w:rsidRPr="00EA2F26" w:rsidRDefault="00D02973" w:rsidP="00DF2FAC">
            <w:pPr>
              <w:autoSpaceDE w:val="0"/>
              <w:autoSpaceDN w:val="0"/>
              <w:adjustRightInd w:val="0"/>
              <w:rPr>
                <w:rFonts w:cs="Calibri"/>
                <w:sz w:val="20"/>
                <w:szCs w:val="20"/>
              </w:rPr>
            </w:pPr>
            <w:r w:rsidRPr="00EA2F26">
              <w:rPr>
                <w:rFonts w:cs="Calibri"/>
                <w:sz w:val="20"/>
                <w:szCs w:val="20"/>
              </w:rPr>
              <w:t xml:space="preserve"> N/</w:t>
            </w:r>
            <w:r w:rsidRPr="00EA2F26">
              <w:rPr>
                <w:rFonts w:cs="Calibri"/>
                <w:caps/>
                <w:sz w:val="20"/>
                <w:szCs w:val="20"/>
              </w:rPr>
              <w:t>A</w:t>
            </w:r>
          </w:p>
        </w:tc>
        <w:tc>
          <w:tcPr>
            <w:tcW w:w="1559" w:type="dxa"/>
          </w:tcPr>
          <w:p w:rsidR="00D02973" w:rsidRPr="00EA2F26" w:rsidRDefault="00D02973" w:rsidP="00DF2FAC">
            <w:pPr>
              <w:autoSpaceDE w:val="0"/>
              <w:autoSpaceDN w:val="0"/>
              <w:adjustRightInd w:val="0"/>
              <w:rPr>
                <w:rFonts w:cs="Calibri"/>
                <w:sz w:val="20"/>
                <w:szCs w:val="20"/>
              </w:rPr>
            </w:pPr>
            <w:r>
              <w:rPr>
                <w:rFonts w:cs="Calibri"/>
                <w:sz w:val="20"/>
                <w:szCs w:val="20"/>
              </w:rPr>
              <w:t>1 working day</w:t>
            </w:r>
          </w:p>
        </w:tc>
      </w:tr>
      <w:tr w:rsidR="00D02973" w:rsidRPr="00EA2F26" w:rsidTr="00DF2FAC">
        <w:trPr>
          <w:trHeight w:val="276"/>
        </w:trPr>
        <w:tc>
          <w:tcPr>
            <w:tcW w:w="670" w:type="dxa"/>
            <w:vMerge/>
          </w:tcPr>
          <w:p w:rsidR="00D02973" w:rsidRPr="00EA2F26" w:rsidRDefault="00D02973" w:rsidP="00DF2FAC">
            <w:pPr>
              <w:autoSpaceDE w:val="0"/>
              <w:autoSpaceDN w:val="0"/>
              <w:adjustRightInd w:val="0"/>
              <w:rPr>
                <w:rFonts w:cs="Calibri"/>
                <w:b/>
                <w:bCs/>
                <w:sz w:val="20"/>
                <w:szCs w:val="20"/>
              </w:rPr>
            </w:pPr>
          </w:p>
        </w:tc>
        <w:tc>
          <w:tcPr>
            <w:tcW w:w="1673" w:type="dxa"/>
          </w:tcPr>
          <w:p w:rsidR="00D02973" w:rsidRPr="00A803EA" w:rsidRDefault="00D02973" w:rsidP="00DF2FAC">
            <w:pPr>
              <w:autoSpaceDE w:val="0"/>
              <w:autoSpaceDN w:val="0"/>
              <w:adjustRightInd w:val="0"/>
              <w:rPr>
                <w:rFonts w:cs="Calibri"/>
                <w:b/>
                <w:bCs/>
                <w:sz w:val="20"/>
                <w:szCs w:val="20"/>
              </w:rPr>
            </w:pPr>
            <w:r w:rsidRPr="00A803EA">
              <w:rPr>
                <w:b/>
              </w:rPr>
              <w:t>Written response to complaint</w:t>
            </w:r>
          </w:p>
        </w:tc>
        <w:tc>
          <w:tcPr>
            <w:tcW w:w="4110" w:type="dxa"/>
          </w:tcPr>
          <w:p w:rsidR="00D02973" w:rsidRPr="00EA2F26" w:rsidRDefault="00D02973" w:rsidP="00DF2FAC">
            <w:pPr>
              <w:autoSpaceDE w:val="0"/>
              <w:autoSpaceDN w:val="0"/>
              <w:adjustRightInd w:val="0"/>
              <w:rPr>
                <w:rFonts w:cs="Calibri"/>
                <w:sz w:val="20"/>
                <w:szCs w:val="20"/>
              </w:rPr>
            </w:pPr>
            <w:r w:rsidRPr="00776C23">
              <w:t>As per contract</w:t>
            </w:r>
          </w:p>
        </w:tc>
        <w:tc>
          <w:tcPr>
            <w:tcW w:w="1730" w:type="dxa"/>
          </w:tcPr>
          <w:p w:rsidR="00D02973" w:rsidRPr="00EA2F26" w:rsidRDefault="00D02973" w:rsidP="00DF2FAC">
            <w:pPr>
              <w:autoSpaceDE w:val="0"/>
              <w:autoSpaceDN w:val="0"/>
              <w:adjustRightInd w:val="0"/>
              <w:rPr>
                <w:rFonts w:cs="Calibri"/>
                <w:sz w:val="20"/>
                <w:szCs w:val="20"/>
              </w:rPr>
            </w:pPr>
            <w:r w:rsidRPr="00776C23">
              <w:t xml:space="preserve"> N/A</w:t>
            </w:r>
          </w:p>
        </w:tc>
        <w:tc>
          <w:tcPr>
            <w:tcW w:w="1559" w:type="dxa"/>
          </w:tcPr>
          <w:p w:rsidR="00D02973" w:rsidRPr="00EA2F26" w:rsidRDefault="00D02973" w:rsidP="00DF2FAC">
            <w:pPr>
              <w:autoSpaceDE w:val="0"/>
              <w:autoSpaceDN w:val="0"/>
              <w:adjustRightInd w:val="0"/>
              <w:rPr>
                <w:rFonts w:cs="Calibri"/>
                <w:sz w:val="20"/>
                <w:szCs w:val="20"/>
              </w:rPr>
            </w:pPr>
            <w:r>
              <w:t>10</w:t>
            </w:r>
            <w:r w:rsidRPr="00776C23">
              <w:t xml:space="preserve"> working days</w:t>
            </w:r>
          </w:p>
        </w:tc>
      </w:tr>
      <w:tr w:rsidR="00D02973" w:rsidRPr="00EA2F26" w:rsidTr="00DF2FAC">
        <w:trPr>
          <w:trHeight w:val="222"/>
        </w:trPr>
        <w:tc>
          <w:tcPr>
            <w:tcW w:w="670" w:type="dxa"/>
          </w:tcPr>
          <w:p w:rsidR="00D02973" w:rsidRPr="00EA2F26" w:rsidRDefault="00D02973" w:rsidP="00DF2FAC">
            <w:pPr>
              <w:autoSpaceDE w:val="0"/>
              <w:autoSpaceDN w:val="0"/>
              <w:adjustRightInd w:val="0"/>
              <w:rPr>
                <w:rFonts w:cs="Calibri"/>
                <w:sz w:val="20"/>
                <w:szCs w:val="20"/>
              </w:rPr>
            </w:pPr>
            <w:r w:rsidRPr="00EA2F26">
              <w:rPr>
                <w:rFonts w:cs="Calibri"/>
                <w:b/>
                <w:bCs/>
                <w:sz w:val="20"/>
                <w:szCs w:val="20"/>
              </w:rPr>
              <w:t xml:space="preserve">5 </w:t>
            </w:r>
          </w:p>
        </w:tc>
        <w:tc>
          <w:tcPr>
            <w:tcW w:w="1673" w:type="dxa"/>
          </w:tcPr>
          <w:p w:rsidR="00D02973" w:rsidRPr="00EA2F26" w:rsidRDefault="00D02973" w:rsidP="00DF2FAC">
            <w:pPr>
              <w:autoSpaceDE w:val="0"/>
              <w:autoSpaceDN w:val="0"/>
              <w:adjustRightInd w:val="0"/>
              <w:rPr>
                <w:rFonts w:cs="Calibri"/>
                <w:sz w:val="20"/>
                <w:szCs w:val="20"/>
              </w:rPr>
            </w:pPr>
            <w:r w:rsidRPr="00EA2F26">
              <w:rPr>
                <w:rFonts w:cs="Calibri"/>
                <w:b/>
                <w:bCs/>
                <w:sz w:val="20"/>
                <w:szCs w:val="20"/>
              </w:rPr>
              <w:t xml:space="preserve">All Other Requests </w:t>
            </w:r>
          </w:p>
        </w:tc>
        <w:tc>
          <w:tcPr>
            <w:tcW w:w="4110" w:type="dxa"/>
          </w:tcPr>
          <w:p w:rsidR="00D02973" w:rsidRPr="00EA2F26" w:rsidRDefault="00D02973" w:rsidP="00DF2FAC">
            <w:pPr>
              <w:autoSpaceDE w:val="0"/>
              <w:autoSpaceDN w:val="0"/>
              <w:adjustRightInd w:val="0"/>
              <w:rPr>
                <w:rFonts w:cs="Calibri"/>
                <w:sz w:val="20"/>
                <w:szCs w:val="20"/>
              </w:rPr>
            </w:pPr>
            <w:r w:rsidRPr="00EA2F26">
              <w:rPr>
                <w:rFonts w:cs="Calibri"/>
                <w:sz w:val="20"/>
                <w:szCs w:val="20"/>
              </w:rPr>
              <w:t xml:space="preserve">Action: Complete request </w:t>
            </w:r>
          </w:p>
        </w:tc>
        <w:tc>
          <w:tcPr>
            <w:tcW w:w="1730" w:type="dxa"/>
          </w:tcPr>
          <w:p w:rsidR="00D02973" w:rsidRPr="00EA2F26" w:rsidRDefault="00D02973" w:rsidP="00DF2FAC">
            <w:pPr>
              <w:autoSpaceDE w:val="0"/>
              <w:autoSpaceDN w:val="0"/>
              <w:adjustRightInd w:val="0"/>
              <w:rPr>
                <w:rFonts w:cs="Calibri"/>
                <w:sz w:val="20"/>
                <w:szCs w:val="20"/>
              </w:rPr>
            </w:pPr>
            <w:r w:rsidRPr="00EA2F26">
              <w:rPr>
                <w:rFonts w:cs="Calibri"/>
                <w:sz w:val="20"/>
                <w:szCs w:val="20"/>
              </w:rPr>
              <w:t xml:space="preserve">  N/</w:t>
            </w:r>
            <w:r w:rsidRPr="00EA2F26">
              <w:rPr>
                <w:rFonts w:cs="Calibri"/>
                <w:caps/>
                <w:sz w:val="20"/>
                <w:szCs w:val="20"/>
              </w:rPr>
              <w:t>A</w:t>
            </w:r>
          </w:p>
        </w:tc>
        <w:tc>
          <w:tcPr>
            <w:tcW w:w="1559" w:type="dxa"/>
          </w:tcPr>
          <w:p w:rsidR="00D02973" w:rsidRPr="00EA2F26" w:rsidRDefault="00D02973" w:rsidP="00DF2FAC">
            <w:pPr>
              <w:autoSpaceDE w:val="0"/>
              <w:autoSpaceDN w:val="0"/>
              <w:adjustRightInd w:val="0"/>
              <w:rPr>
                <w:rFonts w:cs="Calibri"/>
                <w:sz w:val="20"/>
                <w:szCs w:val="20"/>
              </w:rPr>
            </w:pPr>
            <w:r>
              <w:rPr>
                <w:rFonts w:cs="Calibri"/>
                <w:sz w:val="20"/>
                <w:szCs w:val="20"/>
              </w:rPr>
              <w:t>10</w:t>
            </w:r>
            <w:r w:rsidRPr="00EA2F26">
              <w:rPr>
                <w:rFonts w:cs="Calibri"/>
                <w:sz w:val="20"/>
                <w:szCs w:val="20"/>
              </w:rPr>
              <w:t xml:space="preserve"> working days </w:t>
            </w:r>
          </w:p>
        </w:tc>
      </w:tr>
    </w:tbl>
    <w:p w:rsidR="00D02973" w:rsidRPr="00EA2F26" w:rsidRDefault="00D02973" w:rsidP="00D02973">
      <w:pPr>
        <w:rPr>
          <w:rFonts w:eastAsia="Calibri" w:cs="Times New Roman"/>
          <w:sz w:val="20"/>
          <w:szCs w:val="20"/>
        </w:rPr>
        <w:sectPr w:rsidR="00D02973" w:rsidRPr="00EA2F26" w:rsidSect="00DB539A">
          <w:headerReference w:type="first" r:id="rId39"/>
          <w:pgSz w:w="11907" w:h="16839" w:code="9"/>
          <w:pgMar w:top="1440" w:right="1440" w:bottom="1985" w:left="1440" w:header="708" w:footer="283" w:gutter="0"/>
          <w:cols w:space="708"/>
          <w:titlePg/>
          <w:docGrid w:linePitch="360"/>
        </w:sectPr>
      </w:pPr>
    </w:p>
    <w:p w:rsidR="00D02973" w:rsidRPr="00021EBB" w:rsidRDefault="00D02973" w:rsidP="00021EBB">
      <w:pPr>
        <w:pStyle w:val="Heading2"/>
        <w:spacing w:before="120" w:after="200"/>
        <w:ind w:left="-1134"/>
        <w:rPr>
          <w:rFonts w:asciiTheme="minorHAnsi" w:hAnsiTheme="minorHAnsi"/>
          <w:color w:val="auto"/>
        </w:rPr>
      </w:pPr>
      <w:bookmarkStart w:id="190" w:name="_Toc447796628"/>
      <w:bookmarkStart w:id="191" w:name="_Toc447796972"/>
      <w:bookmarkStart w:id="192" w:name="_Toc447797166"/>
      <w:bookmarkStart w:id="193" w:name="_Toc447892503"/>
      <w:bookmarkStart w:id="194" w:name="_Toc448388988"/>
      <w:bookmarkStart w:id="195" w:name="_Toc448389123"/>
      <w:bookmarkStart w:id="196" w:name="_Toc448475250"/>
      <w:r w:rsidRPr="00021EBB">
        <w:rPr>
          <w:rFonts w:asciiTheme="minorHAnsi" w:hAnsiTheme="minorHAnsi"/>
          <w:color w:val="auto"/>
        </w:rPr>
        <w:t>Appendix 4 - General Service Levels</w:t>
      </w:r>
      <w:bookmarkEnd w:id="190"/>
      <w:bookmarkEnd w:id="191"/>
      <w:bookmarkEnd w:id="192"/>
      <w:bookmarkEnd w:id="193"/>
      <w:bookmarkEnd w:id="194"/>
      <w:bookmarkEnd w:id="195"/>
      <w:bookmarkEnd w:id="196"/>
    </w:p>
    <w:tbl>
      <w:tblPr>
        <w:tblpPr w:leftFromText="180" w:rightFromText="180" w:vertAnchor="text" w:tblpX="-1139" w:tblpY="1"/>
        <w:tblOverlap w:val="neve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2693"/>
        <w:gridCol w:w="2126"/>
        <w:gridCol w:w="2285"/>
        <w:gridCol w:w="2085"/>
        <w:gridCol w:w="2576"/>
        <w:gridCol w:w="2126"/>
      </w:tblGrid>
      <w:tr w:rsidR="00D02973" w:rsidRPr="00EA4B2C" w:rsidTr="00021EBB">
        <w:trPr>
          <w:trHeight w:val="388"/>
        </w:trPr>
        <w:tc>
          <w:tcPr>
            <w:tcW w:w="1560" w:type="dxa"/>
          </w:tcPr>
          <w:p w:rsidR="00D02973" w:rsidRPr="00EA4B2C" w:rsidRDefault="00D02973" w:rsidP="00021EBB">
            <w:pPr>
              <w:autoSpaceDE w:val="0"/>
              <w:autoSpaceDN w:val="0"/>
              <w:adjustRightInd w:val="0"/>
              <w:spacing w:after="0"/>
              <w:rPr>
                <w:rFonts w:cs="Calibri"/>
                <w:color w:val="000000"/>
                <w:sz w:val="20"/>
                <w:szCs w:val="20"/>
              </w:rPr>
            </w:pPr>
            <w:r w:rsidRPr="00EA4B2C">
              <w:rPr>
                <w:rFonts w:cs="Calibri"/>
                <w:b/>
                <w:bCs/>
                <w:color w:val="000000"/>
                <w:sz w:val="20"/>
                <w:szCs w:val="20"/>
              </w:rPr>
              <w:t xml:space="preserve">Performance Indicator </w:t>
            </w:r>
          </w:p>
        </w:tc>
        <w:tc>
          <w:tcPr>
            <w:tcW w:w="2693" w:type="dxa"/>
          </w:tcPr>
          <w:p w:rsidR="00D02973" w:rsidRPr="00EA4B2C" w:rsidRDefault="00D02973" w:rsidP="00021EBB">
            <w:pPr>
              <w:autoSpaceDE w:val="0"/>
              <w:autoSpaceDN w:val="0"/>
              <w:adjustRightInd w:val="0"/>
              <w:spacing w:after="0"/>
              <w:rPr>
                <w:rFonts w:cs="Calibri"/>
                <w:color w:val="000000"/>
                <w:sz w:val="20"/>
                <w:szCs w:val="20"/>
              </w:rPr>
            </w:pPr>
            <w:r w:rsidRPr="00EA4B2C">
              <w:rPr>
                <w:rFonts w:cs="Calibri"/>
                <w:b/>
                <w:bCs/>
                <w:color w:val="000000"/>
                <w:sz w:val="20"/>
                <w:szCs w:val="20"/>
              </w:rPr>
              <w:t xml:space="preserve">Level of Service </w:t>
            </w:r>
          </w:p>
        </w:tc>
        <w:tc>
          <w:tcPr>
            <w:tcW w:w="2126" w:type="dxa"/>
          </w:tcPr>
          <w:p w:rsidR="00D02973" w:rsidRPr="00EA4B2C" w:rsidRDefault="00D02973" w:rsidP="00021EBB">
            <w:pPr>
              <w:autoSpaceDE w:val="0"/>
              <w:autoSpaceDN w:val="0"/>
              <w:adjustRightInd w:val="0"/>
              <w:spacing w:after="0"/>
              <w:rPr>
                <w:rFonts w:cs="Calibri"/>
                <w:color w:val="000000"/>
                <w:sz w:val="20"/>
                <w:szCs w:val="20"/>
              </w:rPr>
            </w:pPr>
            <w:r w:rsidRPr="00EA4B2C">
              <w:rPr>
                <w:rFonts w:cs="Calibri"/>
                <w:b/>
                <w:bCs/>
                <w:color w:val="000000"/>
                <w:sz w:val="20"/>
                <w:szCs w:val="20"/>
              </w:rPr>
              <w:t xml:space="preserve">Performance Measurement Process </w:t>
            </w:r>
          </w:p>
        </w:tc>
        <w:tc>
          <w:tcPr>
            <w:tcW w:w="2285" w:type="dxa"/>
          </w:tcPr>
          <w:p w:rsidR="00D02973" w:rsidRPr="00EA4B2C" w:rsidRDefault="00D02973" w:rsidP="00021EBB">
            <w:pPr>
              <w:autoSpaceDE w:val="0"/>
              <w:autoSpaceDN w:val="0"/>
              <w:adjustRightInd w:val="0"/>
              <w:spacing w:after="0"/>
              <w:rPr>
                <w:rFonts w:cs="Calibri"/>
                <w:color w:val="000000"/>
                <w:sz w:val="20"/>
                <w:szCs w:val="20"/>
              </w:rPr>
            </w:pPr>
            <w:r w:rsidRPr="00EA4B2C">
              <w:rPr>
                <w:rFonts w:cs="Calibri"/>
                <w:b/>
                <w:bCs/>
                <w:color w:val="000000"/>
                <w:sz w:val="20"/>
                <w:szCs w:val="20"/>
              </w:rPr>
              <w:t xml:space="preserve">Target Performance </w:t>
            </w:r>
          </w:p>
        </w:tc>
        <w:tc>
          <w:tcPr>
            <w:tcW w:w="2085" w:type="dxa"/>
          </w:tcPr>
          <w:p w:rsidR="00D02973" w:rsidRPr="00EA4B2C" w:rsidRDefault="00D02973" w:rsidP="00021EBB">
            <w:pPr>
              <w:autoSpaceDE w:val="0"/>
              <w:autoSpaceDN w:val="0"/>
              <w:adjustRightInd w:val="0"/>
              <w:spacing w:after="0"/>
              <w:rPr>
                <w:rFonts w:cs="Calibri"/>
                <w:color w:val="000000"/>
                <w:sz w:val="20"/>
                <w:szCs w:val="20"/>
              </w:rPr>
            </w:pPr>
            <w:r w:rsidRPr="00EA4B2C">
              <w:rPr>
                <w:rFonts w:cs="Calibri"/>
                <w:b/>
                <w:bCs/>
                <w:color w:val="000000"/>
                <w:sz w:val="20"/>
                <w:szCs w:val="20"/>
              </w:rPr>
              <w:t xml:space="preserve">Current Performance </w:t>
            </w:r>
          </w:p>
        </w:tc>
        <w:tc>
          <w:tcPr>
            <w:tcW w:w="2576" w:type="dxa"/>
          </w:tcPr>
          <w:p w:rsidR="00D02973" w:rsidRPr="00EA4B2C" w:rsidRDefault="00D02973" w:rsidP="00021EBB">
            <w:pPr>
              <w:autoSpaceDE w:val="0"/>
              <w:autoSpaceDN w:val="0"/>
              <w:adjustRightInd w:val="0"/>
              <w:spacing w:after="0"/>
              <w:rPr>
                <w:rFonts w:cs="Calibri"/>
                <w:color w:val="000000"/>
                <w:sz w:val="20"/>
                <w:szCs w:val="20"/>
              </w:rPr>
            </w:pPr>
            <w:r w:rsidRPr="00EA4B2C">
              <w:rPr>
                <w:rFonts w:cs="Calibri"/>
                <w:b/>
                <w:bCs/>
                <w:color w:val="000000"/>
                <w:sz w:val="20"/>
                <w:szCs w:val="20"/>
              </w:rPr>
              <w:t xml:space="preserve">Actions to meet Performance Target </w:t>
            </w:r>
          </w:p>
        </w:tc>
        <w:tc>
          <w:tcPr>
            <w:tcW w:w="2126" w:type="dxa"/>
          </w:tcPr>
          <w:p w:rsidR="00D02973" w:rsidRPr="00EA4B2C" w:rsidRDefault="00D02973" w:rsidP="00021EBB">
            <w:pPr>
              <w:autoSpaceDE w:val="0"/>
              <w:autoSpaceDN w:val="0"/>
              <w:adjustRightInd w:val="0"/>
              <w:spacing w:after="0"/>
              <w:rPr>
                <w:rFonts w:cs="Calibri"/>
                <w:color w:val="000000"/>
                <w:sz w:val="20"/>
                <w:szCs w:val="20"/>
              </w:rPr>
            </w:pPr>
            <w:r w:rsidRPr="00EA4B2C">
              <w:rPr>
                <w:rFonts w:cs="Calibri"/>
                <w:b/>
                <w:bCs/>
                <w:color w:val="000000"/>
                <w:sz w:val="20"/>
                <w:szCs w:val="20"/>
              </w:rPr>
              <w:t xml:space="preserve">Resources Required </w:t>
            </w:r>
          </w:p>
        </w:tc>
      </w:tr>
      <w:tr w:rsidR="00D02973" w:rsidRPr="00EA4B2C" w:rsidTr="00021EBB">
        <w:trPr>
          <w:trHeight w:val="588"/>
        </w:trPr>
        <w:tc>
          <w:tcPr>
            <w:tcW w:w="1560" w:type="dxa"/>
            <w:shd w:val="clear" w:color="auto" w:fill="auto"/>
          </w:tcPr>
          <w:p w:rsidR="00D02973" w:rsidRPr="00EA4B2C" w:rsidRDefault="00D02973" w:rsidP="00021EBB">
            <w:pPr>
              <w:autoSpaceDE w:val="0"/>
              <w:autoSpaceDN w:val="0"/>
              <w:adjustRightInd w:val="0"/>
              <w:spacing w:after="0"/>
              <w:rPr>
                <w:rFonts w:cs="Calibri"/>
                <w:color w:val="FFFFFF" w:themeColor="background1"/>
                <w:sz w:val="20"/>
                <w:szCs w:val="20"/>
              </w:rPr>
            </w:pPr>
            <w:r w:rsidRPr="00EA4B2C">
              <w:rPr>
                <w:rFonts w:cs="Calibri"/>
                <w:b/>
                <w:bCs/>
                <w:color w:val="000000"/>
                <w:sz w:val="20"/>
                <w:szCs w:val="20"/>
              </w:rPr>
              <w:t xml:space="preserve">Legislative Compliance </w:t>
            </w:r>
          </w:p>
        </w:tc>
        <w:tc>
          <w:tcPr>
            <w:tcW w:w="2693" w:type="dxa"/>
          </w:tcPr>
          <w:p w:rsidR="00D02973" w:rsidRPr="00EA4B2C" w:rsidRDefault="00D02973" w:rsidP="00021EBB">
            <w:pPr>
              <w:autoSpaceDE w:val="0"/>
              <w:autoSpaceDN w:val="0"/>
              <w:adjustRightInd w:val="0"/>
              <w:spacing w:after="0"/>
              <w:rPr>
                <w:rFonts w:cs="Calibri"/>
                <w:color w:val="000000"/>
                <w:sz w:val="20"/>
                <w:szCs w:val="20"/>
              </w:rPr>
            </w:pPr>
            <w:r w:rsidRPr="00EA4B2C">
              <w:rPr>
                <w:rFonts w:cs="Calibri"/>
                <w:color w:val="000000"/>
                <w:sz w:val="20"/>
                <w:szCs w:val="20"/>
              </w:rPr>
              <w:t xml:space="preserve">Compliance with all legislation, regulations and standards. </w:t>
            </w:r>
          </w:p>
        </w:tc>
        <w:tc>
          <w:tcPr>
            <w:tcW w:w="2126" w:type="dxa"/>
          </w:tcPr>
          <w:p w:rsidR="00D02973" w:rsidRPr="00EA4B2C" w:rsidRDefault="00D02973" w:rsidP="00021EBB">
            <w:pPr>
              <w:autoSpaceDE w:val="0"/>
              <w:autoSpaceDN w:val="0"/>
              <w:adjustRightInd w:val="0"/>
              <w:spacing w:after="0"/>
              <w:rPr>
                <w:rFonts w:cs="Calibri"/>
                <w:color w:val="000000"/>
                <w:sz w:val="20"/>
                <w:szCs w:val="20"/>
              </w:rPr>
            </w:pPr>
            <w:r w:rsidRPr="00EA4B2C">
              <w:rPr>
                <w:rFonts w:cs="Calibri"/>
                <w:color w:val="000000"/>
                <w:sz w:val="20"/>
                <w:szCs w:val="20"/>
              </w:rPr>
              <w:t xml:space="preserve">Audits as required </w:t>
            </w:r>
          </w:p>
        </w:tc>
        <w:tc>
          <w:tcPr>
            <w:tcW w:w="2285" w:type="dxa"/>
          </w:tcPr>
          <w:p w:rsidR="00D02973" w:rsidRPr="00EA4B2C" w:rsidRDefault="00D02973" w:rsidP="00021EBB">
            <w:pPr>
              <w:autoSpaceDE w:val="0"/>
              <w:autoSpaceDN w:val="0"/>
              <w:adjustRightInd w:val="0"/>
              <w:spacing w:after="0"/>
              <w:rPr>
                <w:rFonts w:cs="Calibri"/>
                <w:color w:val="000000"/>
                <w:sz w:val="20"/>
                <w:szCs w:val="20"/>
              </w:rPr>
            </w:pPr>
            <w:r w:rsidRPr="00EA4B2C">
              <w:rPr>
                <w:rFonts w:cs="Calibri"/>
                <w:color w:val="000000"/>
                <w:sz w:val="20"/>
                <w:szCs w:val="20"/>
              </w:rPr>
              <w:t xml:space="preserve">100% compliance </w:t>
            </w:r>
          </w:p>
        </w:tc>
        <w:tc>
          <w:tcPr>
            <w:tcW w:w="2085" w:type="dxa"/>
          </w:tcPr>
          <w:p w:rsidR="00D02973" w:rsidRPr="00EA4B2C" w:rsidRDefault="00D02973" w:rsidP="00021EBB">
            <w:pPr>
              <w:autoSpaceDE w:val="0"/>
              <w:autoSpaceDN w:val="0"/>
              <w:adjustRightInd w:val="0"/>
              <w:spacing w:after="0"/>
              <w:rPr>
                <w:rFonts w:cs="Calibri"/>
                <w:color w:val="000000"/>
                <w:sz w:val="20"/>
                <w:szCs w:val="20"/>
              </w:rPr>
            </w:pPr>
            <w:r w:rsidRPr="00EA4B2C">
              <w:rPr>
                <w:rFonts w:cs="Calibri"/>
                <w:color w:val="000000"/>
                <w:sz w:val="20"/>
                <w:szCs w:val="20"/>
              </w:rPr>
              <w:t xml:space="preserve">100% </w:t>
            </w:r>
          </w:p>
        </w:tc>
        <w:tc>
          <w:tcPr>
            <w:tcW w:w="2576" w:type="dxa"/>
          </w:tcPr>
          <w:p w:rsidR="00D02973" w:rsidRPr="00EA4B2C" w:rsidRDefault="00D02973" w:rsidP="00021EBB">
            <w:pPr>
              <w:autoSpaceDE w:val="0"/>
              <w:autoSpaceDN w:val="0"/>
              <w:adjustRightInd w:val="0"/>
              <w:spacing w:after="0"/>
              <w:rPr>
                <w:rFonts w:cs="Calibri"/>
                <w:color w:val="000000"/>
                <w:sz w:val="20"/>
                <w:szCs w:val="20"/>
              </w:rPr>
            </w:pPr>
          </w:p>
        </w:tc>
        <w:tc>
          <w:tcPr>
            <w:tcW w:w="2126" w:type="dxa"/>
          </w:tcPr>
          <w:p w:rsidR="00D02973" w:rsidRPr="00EA4B2C" w:rsidRDefault="00D02973" w:rsidP="00021EBB">
            <w:pPr>
              <w:autoSpaceDE w:val="0"/>
              <w:autoSpaceDN w:val="0"/>
              <w:adjustRightInd w:val="0"/>
              <w:spacing w:after="0"/>
              <w:rPr>
                <w:rFonts w:cs="Calibri"/>
                <w:color w:val="000000"/>
                <w:sz w:val="20"/>
                <w:szCs w:val="20"/>
              </w:rPr>
            </w:pPr>
          </w:p>
        </w:tc>
      </w:tr>
      <w:tr w:rsidR="00D02973" w:rsidRPr="00EA4B2C" w:rsidTr="00021EBB">
        <w:trPr>
          <w:trHeight w:val="994"/>
        </w:trPr>
        <w:tc>
          <w:tcPr>
            <w:tcW w:w="1560" w:type="dxa"/>
          </w:tcPr>
          <w:p w:rsidR="00D02973" w:rsidRPr="00EA4B2C" w:rsidRDefault="00D02973" w:rsidP="00021EBB">
            <w:pPr>
              <w:autoSpaceDE w:val="0"/>
              <w:autoSpaceDN w:val="0"/>
              <w:adjustRightInd w:val="0"/>
              <w:spacing w:after="0"/>
              <w:rPr>
                <w:rFonts w:cs="Calibri"/>
                <w:color w:val="000000"/>
                <w:sz w:val="20"/>
                <w:szCs w:val="20"/>
              </w:rPr>
            </w:pPr>
            <w:r w:rsidRPr="00EA4B2C">
              <w:rPr>
                <w:rFonts w:cs="Calibri"/>
                <w:b/>
                <w:bCs/>
                <w:color w:val="000000"/>
                <w:sz w:val="20"/>
                <w:szCs w:val="20"/>
              </w:rPr>
              <w:t xml:space="preserve">Safety </w:t>
            </w:r>
          </w:p>
        </w:tc>
        <w:tc>
          <w:tcPr>
            <w:tcW w:w="2693" w:type="dxa"/>
          </w:tcPr>
          <w:p w:rsidR="00D02973" w:rsidRPr="00EA4B2C" w:rsidRDefault="00D02973" w:rsidP="00021EBB">
            <w:pPr>
              <w:autoSpaceDE w:val="0"/>
              <w:autoSpaceDN w:val="0"/>
              <w:adjustRightInd w:val="0"/>
              <w:spacing w:after="0"/>
              <w:rPr>
                <w:rFonts w:cs="Calibri"/>
                <w:color w:val="000000"/>
                <w:sz w:val="20"/>
                <w:szCs w:val="20"/>
              </w:rPr>
            </w:pPr>
            <w:r w:rsidRPr="00EA4B2C">
              <w:rPr>
                <w:rFonts w:cs="Calibri"/>
                <w:color w:val="000000"/>
                <w:sz w:val="20"/>
                <w:szCs w:val="20"/>
              </w:rPr>
              <w:t xml:space="preserve">To ensure all users, staff and contractors have personal safety with minimal health risk. </w:t>
            </w:r>
          </w:p>
        </w:tc>
        <w:tc>
          <w:tcPr>
            <w:tcW w:w="2126" w:type="dxa"/>
          </w:tcPr>
          <w:p w:rsidR="00D02973" w:rsidRPr="00EA4B2C" w:rsidRDefault="00D02973" w:rsidP="00021EBB">
            <w:pPr>
              <w:autoSpaceDE w:val="0"/>
              <w:autoSpaceDN w:val="0"/>
              <w:adjustRightInd w:val="0"/>
              <w:spacing w:after="0"/>
              <w:rPr>
                <w:rFonts w:cs="Calibri"/>
                <w:color w:val="000000"/>
                <w:sz w:val="20"/>
                <w:szCs w:val="20"/>
              </w:rPr>
            </w:pPr>
            <w:r w:rsidRPr="00EA4B2C">
              <w:rPr>
                <w:rFonts w:cs="Calibri"/>
                <w:color w:val="000000"/>
                <w:sz w:val="20"/>
                <w:szCs w:val="20"/>
              </w:rPr>
              <w:t xml:space="preserve">Hazards identified by audits or customer request to be made safe and appropriately dealt with. </w:t>
            </w:r>
          </w:p>
        </w:tc>
        <w:tc>
          <w:tcPr>
            <w:tcW w:w="2285" w:type="dxa"/>
          </w:tcPr>
          <w:p w:rsidR="00D02973" w:rsidRPr="00EA4B2C" w:rsidRDefault="00D02973" w:rsidP="00021EBB">
            <w:pPr>
              <w:autoSpaceDE w:val="0"/>
              <w:autoSpaceDN w:val="0"/>
              <w:adjustRightInd w:val="0"/>
              <w:spacing w:after="0"/>
              <w:rPr>
                <w:rFonts w:cs="Calibri"/>
                <w:color w:val="000000"/>
                <w:sz w:val="20"/>
                <w:szCs w:val="20"/>
              </w:rPr>
            </w:pPr>
            <w:r w:rsidRPr="00EA4B2C">
              <w:rPr>
                <w:rFonts w:cs="Calibri"/>
                <w:color w:val="000000"/>
                <w:sz w:val="20"/>
                <w:szCs w:val="20"/>
              </w:rPr>
              <w:t xml:space="preserve">No injuries due to recreation and open space defects or condition. </w:t>
            </w:r>
          </w:p>
        </w:tc>
        <w:tc>
          <w:tcPr>
            <w:tcW w:w="2085" w:type="dxa"/>
          </w:tcPr>
          <w:p w:rsidR="00D02973" w:rsidRPr="00EA4B2C" w:rsidRDefault="00D02973" w:rsidP="00021EBB">
            <w:pPr>
              <w:autoSpaceDE w:val="0"/>
              <w:autoSpaceDN w:val="0"/>
              <w:adjustRightInd w:val="0"/>
              <w:spacing w:after="0"/>
              <w:rPr>
                <w:rFonts w:cs="Calibri"/>
                <w:color w:val="000000"/>
                <w:sz w:val="20"/>
                <w:szCs w:val="20"/>
              </w:rPr>
            </w:pPr>
            <w:r w:rsidRPr="00EA4B2C">
              <w:rPr>
                <w:rFonts w:cs="Calibri"/>
                <w:color w:val="000000"/>
                <w:sz w:val="20"/>
                <w:szCs w:val="20"/>
              </w:rPr>
              <w:t xml:space="preserve">Hazards are being identified and dealt with through </w:t>
            </w:r>
            <w:r>
              <w:rPr>
                <w:rFonts w:cs="Calibri"/>
                <w:color w:val="000000"/>
                <w:sz w:val="20"/>
                <w:szCs w:val="20"/>
              </w:rPr>
              <w:t>Council</w:t>
            </w:r>
            <w:r w:rsidRPr="00EA4B2C">
              <w:rPr>
                <w:rFonts w:cs="Calibri"/>
                <w:color w:val="000000"/>
                <w:sz w:val="20"/>
                <w:szCs w:val="20"/>
              </w:rPr>
              <w:t xml:space="preserve">’s Service Providers. Service Providers have response times as set by contract and currently meeting these requirements. </w:t>
            </w:r>
          </w:p>
        </w:tc>
        <w:tc>
          <w:tcPr>
            <w:tcW w:w="2576" w:type="dxa"/>
          </w:tcPr>
          <w:p w:rsidR="00D02973" w:rsidRPr="00EA4B2C" w:rsidRDefault="00D02973" w:rsidP="00021EBB">
            <w:pPr>
              <w:autoSpaceDE w:val="0"/>
              <w:autoSpaceDN w:val="0"/>
              <w:adjustRightInd w:val="0"/>
              <w:spacing w:after="0"/>
              <w:rPr>
                <w:rFonts w:cs="Calibri"/>
                <w:color w:val="000000"/>
                <w:sz w:val="20"/>
                <w:szCs w:val="20"/>
              </w:rPr>
            </w:pPr>
            <w:r w:rsidRPr="00EA4B2C">
              <w:rPr>
                <w:rFonts w:cs="Calibri"/>
                <w:color w:val="000000"/>
                <w:sz w:val="20"/>
                <w:szCs w:val="20"/>
              </w:rPr>
              <w:t xml:space="preserve">An assessment required of condition and recreation and open spaces then brought up to appropriate level. </w:t>
            </w:r>
          </w:p>
        </w:tc>
        <w:tc>
          <w:tcPr>
            <w:tcW w:w="2126" w:type="dxa"/>
          </w:tcPr>
          <w:p w:rsidR="00D02973" w:rsidRPr="00EA4B2C" w:rsidRDefault="00D02973" w:rsidP="00021EBB">
            <w:pPr>
              <w:autoSpaceDE w:val="0"/>
              <w:autoSpaceDN w:val="0"/>
              <w:adjustRightInd w:val="0"/>
              <w:spacing w:after="0"/>
              <w:rPr>
                <w:rFonts w:cs="Calibri"/>
                <w:color w:val="000000"/>
                <w:sz w:val="20"/>
                <w:szCs w:val="20"/>
              </w:rPr>
            </w:pPr>
            <w:r w:rsidRPr="00EA4B2C">
              <w:rPr>
                <w:rFonts w:cs="Calibri"/>
                <w:color w:val="000000"/>
                <w:sz w:val="20"/>
                <w:szCs w:val="20"/>
              </w:rPr>
              <w:t xml:space="preserve">1. Consultants required for assessments. </w:t>
            </w:r>
          </w:p>
          <w:p w:rsidR="00D02973" w:rsidRPr="00EA4B2C" w:rsidRDefault="00D02973" w:rsidP="00021EBB">
            <w:pPr>
              <w:autoSpaceDE w:val="0"/>
              <w:autoSpaceDN w:val="0"/>
              <w:adjustRightInd w:val="0"/>
              <w:spacing w:after="0"/>
              <w:rPr>
                <w:rFonts w:cs="Calibri"/>
                <w:color w:val="000000"/>
                <w:sz w:val="20"/>
                <w:szCs w:val="20"/>
              </w:rPr>
            </w:pPr>
            <w:r w:rsidRPr="00EA4B2C">
              <w:rPr>
                <w:rFonts w:cs="Calibri"/>
                <w:color w:val="000000"/>
                <w:sz w:val="20"/>
                <w:szCs w:val="20"/>
              </w:rPr>
              <w:t xml:space="preserve">2. Internal resources. </w:t>
            </w:r>
          </w:p>
          <w:p w:rsidR="00D02973" w:rsidRPr="00EA4B2C" w:rsidRDefault="00D02973" w:rsidP="00021EBB">
            <w:pPr>
              <w:autoSpaceDE w:val="0"/>
              <w:autoSpaceDN w:val="0"/>
              <w:adjustRightInd w:val="0"/>
              <w:spacing w:after="0"/>
              <w:rPr>
                <w:rFonts w:cs="Calibri"/>
                <w:color w:val="000000"/>
                <w:sz w:val="20"/>
                <w:szCs w:val="20"/>
              </w:rPr>
            </w:pPr>
            <w:r w:rsidRPr="00EA4B2C">
              <w:rPr>
                <w:rFonts w:cs="Calibri"/>
                <w:color w:val="000000"/>
                <w:sz w:val="20"/>
                <w:szCs w:val="20"/>
              </w:rPr>
              <w:t xml:space="preserve">3. Funding to bring condition to required standard. </w:t>
            </w:r>
          </w:p>
          <w:p w:rsidR="00D02973" w:rsidRPr="00EA4B2C" w:rsidRDefault="00D02973" w:rsidP="00021EBB">
            <w:pPr>
              <w:autoSpaceDE w:val="0"/>
              <w:autoSpaceDN w:val="0"/>
              <w:adjustRightInd w:val="0"/>
              <w:spacing w:after="0"/>
              <w:rPr>
                <w:rFonts w:cs="Calibri"/>
                <w:color w:val="000000"/>
                <w:sz w:val="20"/>
                <w:szCs w:val="20"/>
              </w:rPr>
            </w:pPr>
            <w:r w:rsidRPr="00EA4B2C">
              <w:rPr>
                <w:rFonts w:cs="Calibri"/>
                <w:color w:val="000000"/>
                <w:sz w:val="20"/>
                <w:szCs w:val="20"/>
              </w:rPr>
              <w:t xml:space="preserve">4. Service Providers </w:t>
            </w:r>
          </w:p>
        </w:tc>
      </w:tr>
      <w:tr w:rsidR="00D02973" w:rsidRPr="00EA4B2C" w:rsidTr="00021EBB">
        <w:trPr>
          <w:trHeight w:val="872"/>
        </w:trPr>
        <w:tc>
          <w:tcPr>
            <w:tcW w:w="1560" w:type="dxa"/>
          </w:tcPr>
          <w:p w:rsidR="00D02973" w:rsidRPr="00EA4B2C" w:rsidRDefault="00D02973" w:rsidP="00021EBB">
            <w:pPr>
              <w:autoSpaceDE w:val="0"/>
              <w:autoSpaceDN w:val="0"/>
              <w:adjustRightInd w:val="0"/>
              <w:spacing w:after="0"/>
              <w:rPr>
                <w:rFonts w:cs="Calibri"/>
                <w:color w:val="000000"/>
                <w:sz w:val="20"/>
                <w:szCs w:val="20"/>
              </w:rPr>
            </w:pPr>
            <w:r w:rsidRPr="00EA4B2C">
              <w:rPr>
                <w:rFonts w:cs="Calibri"/>
                <w:b/>
                <w:bCs/>
                <w:color w:val="000000"/>
                <w:sz w:val="20"/>
                <w:szCs w:val="20"/>
              </w:rPr>
              <w:t xml:space="preserve">Condition </w:t>
            </w:r>
          </w:p>
        </w:tc>
        <w:tc>
          <w:tcPr>
            <w:tcW w:w="2693" w:type="dxa"/>
          </w:tcPr>
          <w:p w:rsidR="00D02973" w:rsidRPr="00EA4B2C" w:rsidRDefault="00D02973" w:rsidP="00021EBB">
            <w:pPr>
              <w:autoSpaceDE w:val="0"/>
              <w:autoSpaceDN w:val="0"/>
              <w:adjustRightInd w:val="0"/>
              <w:spacing w:after="0"/>
              <w:rPr>
                <w:rFonts w:cs="Calibri"/>
                <w:color w:val="000000"/>
                <w:sz w:val="20"/>
                <w:szCs w:val="20"/>
              </w:rPr>
            </w:pPr>
            <w:r w:rsidRPr="00EA4B2C">
              <w:rPr>
                <w:rFonts w:cs="Calibri"/>
                <w:color w:val="000000"/>
                <w:sz w:val="20"/>
                <w:szCs w:val="20"/>
              </w:rPr>
              <w:t xml:space="preserve">All recreation and open spaces will meet condition standards as defined by category. </w:t>
            </w:r>
          </w:p>
        </w:tc>
        <w:tc>
          <w:tcPr>
            <w:tcW w:w="2126" w:type="dxa"/>
          </w:tcPr>
          <w:p w:rsidR="00D02973" w:rsidRPr="00EA4B2C" w:rsidRDefault="00D02973" w:rsidP="00021EBB">
            <w:pPr>
              <w:autoSpaceDE w:val="0"/>
              <w:autoSpaceDN w:val="0"/>
              <w:adjustRightInd w:val="0"/>
              <w:spacing w:after="0"/>
              <w:rPr>
                <w:rFonts w:cs="Calibri"/>
                <w:color w:val="000000"/>
                <w:sz w:val="20"/>
                <w:szCs w:val="20"/>
              </w:rPr>
            </w:pPr>
            <w:r w:rsidRPr="00EA4B2C">
              <w:rPr>
                <w:rFonts w:cs="Calibri"/>
                <w:color w:val="000000"/>
                <w:sz w:val="20"/>
                <w:szCs w:val="20"/>
              </w:rPr>
              <w:t xml:space="preserve">Regular condition audits to monitor progress. </w:t>
            </w:r>
          </w:p>
        </w:tc>
        <w:tc>
          <w:tcPr>
            <w:tcW w:w="2285" w:type="dxa"/>
          </w:tcPr>
          <w:p w:rsidR="00D02973" w:rsidRPr="00EA4B2C" w:rsidRDefault="00D02973" w:rsidP="00021EBB">
            <w:pPr>
              <w:autoSpaceDE w:val="0"/>
              <w:autoSpaceDN w:val="0"/>
              <w:adjustRightInd w:val="0"/>
              <w:spacing w:after="0"/>
              <w:rPr>
                <w:rFonts w:cs="Calibri"/>
                <w:color w:val="000000"/>
                <w:sz w:val="20"/>
                <w:szCs w:val="20"/>
              </w:rPr>
            </w:pPr>
            <w:r>
              <w:rPr>
                <w:rFonts w:cs="Calibri"/>
                <w:color w:val="000000"/>
                <w:sz w:val="20"/>
                <w:szCs w:val="20"/>
              </w:rPr>
              <w:t>60</w:t>
            </w:r>
            <w:r w:rsidRPr="00EA4B2C">
              <w:rPr>
                <w:rFonts w:cs="Calibri"/>
                <w:color w:val="000000"/>
                <w:sz w:val="20"/>
                <w:szCs w:val="20"/>
              </w:rPr>
              <w:t>% of recreation and open s</w:t>
            </w:r>
            <w:r>
              <w:rPr>
                <w:rFonts w:cs="Calibri"/>
                <w:color w:val="000000"/>
                <w:sz w:val="20"/>
                <w:szCs w:val="20"/>
              </w:rPr>
              <w:t>paces assessed as good,</w:t>
            </w:r>
            <w:r w:rsidRPr="00EA4B2C">
              <w:rPr>
                <w:rFonts w:cs="Calibri"/>
                <w:color w:val="000000"/>
                <w:sz w:val="20"/>
                <w:szCs w:val="20"/>
              </w:rPr>
              <w:t xml:space="preserve"> better </w:t>
            </w:r>
            <w:r>
              <w:rPr>
                <w:rFonts w:cs="Calibri"/>
                <w:color w:val="000000"/>
                <w:sz w:val="20"/>
                <w:szCs w:val="20"/>
              </w:rPr>
              <w:t xml:space="preserve">or average </w:t>
            </w:r>
            <w:r w:rsidRPr="00EA4B2C">
              <w:rPr>
                <w:rFonts w:cs="Calibri"/>
                <w:color w:val="000000"/>
                <w:sz w:val="20"/>
                <w:szCs w:val="20"/>
              </w:rPr>
              <w:t>condition</w:t>
            </w:r>
            <w:r>
              <w:rPr>
                <w:rFonts w:cs="Calibri"/>
                <w:color w:val="000000"/>
                <w:sz w:val="20"/>
                <w:szCs w:val="20"/>
              </w:rPr>
              <w:t xml:space="preserve"> (see Figure 6</w:t>
            </w:r>
            <w:r w:rsidRPr="00EA4B2C">
              <w:rPr>
                <w:rFonts w:cs="Calibri"/>
                <w:color w:val="000000"/>
                <w:sz w:val="20"/>
                <w:szCs w:val="20"/>
              </w:rPr>
              <w:t xml:space="preserve">. </w:t>
            </w:r>
          </w:p>
        </w:tc>
        <w:tc>
          <w:tcPr>
            <w:tcW w:w="2085" w:type="dxa"/>
          </w:tcPr>
          <w:p w:rsidR="00D02973" w:rsidRPr="00EA4B2C" w:rsidRDefault="00D02973" w:rsidP="00021EBB">
            <w:pPr>
              <w:autoSpaceDE w:val="0"/>
              <w:autoSpaceDN w:val="0"/>
              <w:adjustRightInd w:val="0"/>
              <w:spacing w:after="0"/>
              <w:rPr>
                <w:rFonts w:cs="Calibri"/>
                <w:color w:val="000000"/>
                <w:sz w:val="20"/>
                <w:szCs w:val="20"/>
              </w:rPr>
            </w:pPr>
            <w:r w:rsidRPr="00EA4B2C">
              <w:rPr>
                <w:rFonts w:cs="Calibri"/>
                <w:color w:val="000000"/>
                <w:sz w:val="20"/>
                <w:szCs w:val="20"/>
              </w:rPr>
              <w:t xml:space="preserve">Defects audited annually, then prioritised and works carried out if resources allow. </w:t>
            </w:r>
          </w:p>
        </w:tc>
        <w:tc>
          <w:tcPr>
            <w:tcW w:w="2576" w:type="dxa"/>
          </w:tcPr>
          <w:p w:rsidR="00D02973" w:rsidRPr="00EA4B2C" w:rsidRDefault="00D02973" w:rsidP="00021EBB">
            <w:pPr>
              <w:autoSpaceDE w:val="0"/>
              <w:autoSpaceDN w:val="0"/>
              <w:adjustRightInd w:val="0"/>
              <w:spacing w:after="0"/>
              <w:rPr>
                <w:rFonts w:cs="Calibri"/>
                <w:color w:val="000000"/>
                <w:sz w:val="20"/>
                <w:szCs w:val="20"/>
              </w:rPr>
            </w:pPr>
            <w:r w:rsidRPr="00EA4B2C">
              <w:rPr>
                <w:rFonts w:cs="Calibri"/>
                <w:color w:val="000000"/>
                <w:sz w:val="20"/>
                <w:szCs w:val="20"/>
              </w:rPr>
              <w:t xml:space="preserve">1. Condition audits every 3-5 years </w:t>
            </w:r>
          </w:p>
          <w:p w:rsidR="00D02973" w:rsidRPr="00EA4B2C" w:rsidRDefault="00D02973" w:rsidP="00021EBB">
            <w:pPr>
              <w:autoSpaceDE w:val="0"/>
              <w:autoSpaceDN w:val="0"/>
              <w:adjustRightInd w:val="0"/>
              <w:spacing w:after="0"/>
              <w:rPr>
                <w:rFonts w:cs="Calibri"/>
                <w:color w:val="000000"/>
                <w:sz w:val="20"/>
                <w:szCs w:val="20"/>
              </w:rPr>
            </w:pPr>
            <w:r w:rsidRPr="00EA4B2C">
              <w:rPr>
                <w:rFonts w:cs="Calibri"/>
                <w:color w:val="000000"/>
                <w:sz w:val="20"/>
                <w:szCs w:val="20"/>
              </w:rPr>
              <w:t xml:space="preserve">2. Audit results to be used for future planning. </w:t>
            </w:r>
          </w:p>
          <w:p w:rsidR="00D02973" w:rsidRPr="00EA4B2C" w:rsidRDefault="00D02973" w:rsidP="00021EBB">
            <w:pPr>
              <w:autoSpaceDE w:val="0"/>
              <w:autoSpaceDN w:val="0"/>
              <w:adjustRightInd w:val="0"/>
              <w:spacing w:after="0"/>
              <w:rPr>
                <w:rFonts w:cs="Calibri"/>
                <w:color w:val="000000"/>
                <w:sz w:val="20"/>
                <w:szCs w:val="20"/>
              </w:rPr>
            </w:pPr>
            <w:r w:rsidRPr="00EA4B2C">
              <w:rPr>
                <w:rFonts w:cs="Calibri"/>
                <w:color w:val="000000"/>
                <w:sz w:val="20"/>
                <w:szCs w:val="20"/>
              </w:rPr>
              <w:t xml:space="preserve">3. Ensure maintenance and renewal is funded to required level. </w:t>
            </w:r>
          </w:p>
        </w:tc>
        <w:tc>
          <w:tcPr>
            <w:tcW w:w="2126" w:type="dxa"/>
          </w:tcPr>
          <w:p w:rsidR="00D02973" w:rsidRPr="00EA4B2C" w:rsidRDefault="00D02973" w:rsidP="00021EBB">
            <w:pPr>
              <w:autoSpaceDE w:val="0"/>
              <w:autoSpaceDN w:val="0"/>
              <w:adjustRightInd w:val="0"/>
              <w:spacing w:after="0"/>
              <w:rPr>
                <w:rFonts w:cs="Calibri"/>
                <w:color w:val="000000"/>
                <w:sz w:val="20"/>
                <w:szCs w:val="20"/>
              </w:rPr>
            </w:pPr>
            <w:r w:rsidRPr="00EA4B2C">
              <w:rPr>
                <w:rFonts w:cs="Calibri"/>
                <w:color w:val="000000"/>
                <w:sz w:val="20"/>
                <w:szCs w:val="20"/>
              </w:rPr>
              <w:t xml:space="preserve">1. Possibly external consultants or internal staff trained to carry out audits. </w:t>
            </w:r>
          </w:p>
          <w:p w:rsidR="00D02973" w:rsidRPr="00EA4B2C" w:rsidRDefault="00D02973" w:rsidP="00021EBB">
            <w:pPr>
              <w:autoSpaceDE w:val="0"/>
              <w:autoSpaceDN w:val="0"/>
              <w:adjustRightInd w:val="0"/>
              <w:spacing w:after="0"/>
              <w:rPr>
                <w:rFonts w:cs="Calibri"/>
                <w:color w:val="000000"/>
                <w:sz w:val="20"/>
                <w:szCs w:val="20"/>
              </w:rPr>
            </w:pPr>
            <w:r w:rsidRPr="00EA4B2C">
              <w:rPr>
                <w:rFonts w:cs="Calibri"/>
                <w:color w:val="000000"/>
                <w:sz w:val="20"/>
                <w:szCs w:val="20"/>
              </w:rPr>
              <w:t xml:space="preserve">2. Maintenance and renewal funding </w:t>
            </w:r>
          </w:p>
        </w:tc>
      </w:tr>
      <w:tr w:rsidR="00D02973" w:rsidRPr="00EA4B2C" w:rsidTr="00021EBB">
        <w:trPr>
          <w:trHeight w:val="709"/>
        </w:trPr>
        <w:tc>
          <w:tcPr>
            <w:tcW w:w="1560" w:type="dxa"/>
          </w:tcPr>
          <w:p w:rsidR="00D02973" w:rsidRPr="00EA4B2C" w:rsidRDefault="00D02973" w:rsidP="00021EBB">
            <w:pPr>
              <w:autoSpaceDE w:val="0"/>
              <w:autoSpaceDN w:val="0"/>
              <w:adjustRightInd w:val="0"/>
              <w:spacing w:after="0"/>
              <w:rPr>
                <w:rFonts w:cs="Calibri"/>
                <w:color w:val="000000"/>
                <w:sz w:val="20"/>
                <w:szCs w:val="20"/>
              </w:rPr>
            </w:pPr>
            <w:r w:rsidRPr="00EA4B2C">
              <w:rPr>
                <w:rFonts w:cs="Calibri"/>
                <w:b/>
                <w:bCs/>
                <w:color w:val="000000"/>
                <w:sz w:val="20"/>
                <w:szCs w:val="20"/>
              </w:rPr>
              <w:t>Utilisation</w:t>
            </w:r>
          </w:p>
        </w:tc>
        <w:tc>
          <w:tcPr>
            <w:tcW w:w="2693" w:type="dxa"/>
          </w:tcPr>
          <w:p w:rsidR="00D02973" w:rsidRPr="00EA4B2C" w:rsidRDefault="00D02973" w:rsidP="00021EBB">
            <w:pPr>
              <w:autoSpaceDE w:val="0"/>
              <w:autoSpaceDN w:val="0"/>
              <w:adjustRightInd w:val="0"/>
              <w:spacing w:after="0"/>
              <w:rPr>
                <w:rFonts w:cs="Calibri"/>
                <w:color w:val="000000"/>
                <w:sz w:val="20"/>
                <w:szCs w:val="20"/>
              </w:rPr>
            </w:pPr>
            <w:r w:rsidRPr="00EA4B2C">
              <w:rPr>
                <w:rFonts w:cs="Calibri"/>
                <w:color w:val="000000"/>
                <w:sz w:val="20"/>
                <w:szCs w:val="20"/>
              </w:rPr>
              <w:t xml:space="preserve">Recreation and open spaces used to their full potential </w:t>
            </w:r>
          </w:p>
        </w:tc>
        <w:tc>
          <w:tcPr>
            <w:tcW w:w="2126" w:type="dxa"/>
          </w:tcPr>
          <w:p w:rsidR="00D02973" w:rsidRPr="00EA4B2C" w:rsidRDefault="00D02973" w:rsidP="00021EBB">
            <w:pPr>
              <w:autoSpaceDE w:val="0"/>
              <w:autoSpaceDN w:val="0"/>
              <w:adjustRightInd w:val="0"/>
              <w:spacing w:after="0"/>
              <w:rPr>
                <w:rFonts w:cs="Calibri"/>
                <w:color w:val="000000"/>
                <w:sz w:val="20"/>
                <w:szCs w:val="20"/>
              </w:rPr>
            </w:pPr>
            <w:r w:rsidRPr="00EA4B2C">
              <w:rPr>
                <w:rFonts w:cs="Calibri"/>
                <w:color w:val="000000"/>
                <w:sz w:val="20"/>
                <w:szCs w:val="20"/>
              </w:rPr>
              <w:t xml:space="preserve">Annual assessment of usage levels. </w:t>
            </w:r>
          </w:p>
          <w:p w:rsidR="00D02973" w:rsidRPr="00EA4B2C" w:rsidRDefault="00D02973" w:rsidP="00021EBB">
            <w:pPr>
              <w:autoSpaceDE w:val="0"/>
              <w:autoSpaceDN w:val="0"/>
              <w:adjustRightInd w:val="0"/>
              <w:spacing w:after="0"/>
              <w:rPr>
                <w:rFonts w:cs="Calibri"/>
                <w:color w:val="000000"/>
                <w:sz w:val="20"/>
                <w:szCs w:val="20"/>
              </w:rPr>
            </w:pPr>
            <w:r w:rsidRPr="00EA4B2C">
              <w:rPr>
                <w:rFonts w:cs="Calibri"/>
                <w:color w:val="000000"/>
                <w:sz w:val="20"/>
                <w:szCs w:val="20"/>
              </w:rPr>
              <w:t xml:space="preserve">Recreation and open spaces used within capacity. </w:t>
            </w:r>
          </w:p>
        </w:tc>
        <w:tc>
          <w:tcPr>
            <w:tcW w:w="2285" w:type="dxa"/>
          </w:tcPr>
          <w:p w:rsidR="00D02973" w:rsidRPr="00EA4B2C" w:rsidRDefault="00D02973" w:rsidP="00021EBB">
            <w:pPr>
              <w:autoSpaceDE w:val="0"/>
              <w:autoSpaceDN w:val="0"/>
              <w:adjustRightInd w:val="0"/>
              <w:spacing w:after="0"/>
              <w:rPr>
                <w:rFonts w:cs="Calibri"/>
                <w:color w:val="000000"/>
                <w:sz w:val="20"/>
                <w:szCs w:val="20"/>
              </w:rPr>
            </w:pPr>
            <w:r>
              <w:rPr>
                <w:rFonts w:cs="Calibri"/>
                <w:color w:val="000000"/>
                <w:sz w:val="20"/>
                <w:szCs w:val="20"/>
              </w:rPr>
              <w:t>Bayside’s recreation and outdoor assets are heavily utilised.</w:t>
            </w:r>
          </w:p>
        </w:tc>
        <w:tc>
          <w:tcPr>
            <w:tcW w:w="2085" w:type="dxa"/>
          </w:tcPr>
          <w:p w:rsidR="00D02973" w:rsidRPr="00EA4B2C" w:rsidRDefault="00D02973" w:rsidP="00021EBB">
            <w:pPr>
              <w:autoSpaceDE w:val="0"/>
              <w:autoSpaceDN w:val="0"/>
              <w:adjustRightInd w:val="0"/>
              <w:spacing w:after="0"/>
              <w:rPr>
                <w:rFonts w:cs="Calibri"/>
                <w:color w:val="000000"/>
                <w:sz w:val="20"/>
                <w:szCs w:val="20"/>
              </w:rPr>
            </w:pPr>
            <w:r>
              <w:rPr>
                <w:rFonts w:cs="Calibri"/>
                <w:color w:val="000000"/>
                <w:sz w:val="20"/>
                <w:szCs w:val="20"/>
              </w:rPr>
              <w:t>More information is required upon expected utilisation. This is to be determined in Strategic Service Review.</w:t>
            </w:r>
          </w:p>
        </w:tc>
        <w:tc>
          <w:tcPr>
            <w:tcW w:w="2576" w:type="dxa"/>
          </w:tcPr>
          <w:p w:rsidR="00D02973" w:rsidRPr="00EA4B2C" w:rsidRDefault="00D02973" w:rsidP="00021EBB">
            <w:pPr>
              <w:autoSpaceDE w:val="0"/>
              <w:autoSpaceDN w:val="0"/>
              <w:adjustRightInd w:val="0"/>
              <w:spacing w:after="0"/>
              <w:rPr>
                <w:rFonts w:cs="Calibri"/>
                <w:color w:val="000000"/>
                <w:sz w:val="20"/>
                <w:szCs w:val="20"/>
              </w:rPr>
            </w:pPr>
            <w:r w:rsidRPr="00EA4B2C">
              <w:rPr>
                <w:rFonts w:cs="Calibri"/>
                <w:color w:val="000000"/>
                <w:sz w:val="20"/>
                <w:szCs w:val="20"/>
              </w:rPr>
              <w:t xml:space="preserve">1. Establish usage rates with internal staff and users. </w:t>
            </w:r>
          </w:p>
          <w:p w:rsidR="00D02973" w:rsidRPr="00EA4B2C" w:rsidRDefault="00D02973" w:rsidP="00021EBB">
            <w:pPr>
              <w:autoSpaceDE w:val="0"/>
              <w:autoSpaceDN w:val="0"/>
              <w:adjustRightInd w:val="0"/>
              <w:spacing w:after="0"/>
              <w:rPr>
                <w:rFonts w:cs="Calibri"/>
                <w:color w:val="000000"/>
                <w:sz w:val="20"/>
                <w:szCs w:val="20"/>
              </w:rPr>
            </w:pPr>
            <w:r w:rsidRPr="00EA4B2C">
              <w:rPr>
                <w:rFonts w:cs="Calibri"/>
                <w:color w:val="000000"/>
                <w:sz w:val="20"/>
                <w:szCs w:val="20"/>
              </w:rPr>
              <w:t xml:space="preserve">2. Establish capacity of recreation and open spaces. </w:t>
            </w:r>
          </w:p>
          <w:p w:rsidR="00D02973" w:rsidRPr="00EA4B2C" w:rsidRDefault="00D02973" w:rsidP="00021EBB">
            <w:pPr>
              <w:autoSpaceDE w:val="0"/>
              <w:autoSpaceDN w:val="0"/>
              <w:adjustRightInd w:val="0"/>
              <w:spacing w:after="0"/>
              <w:rPr>
                <w:rFonts w:cs="Calibri"/>
                <w:color w:val="000000"/>
                <w:sz w:val="20"/>
                <w:szCs w:val="20"/>
              </w:rPr>
            </w:pPr>
            <w:r w:rsidRPr="00EA4B2C">
              <w:rPr>
                <w:rFonts w:cs="Calibri"/>
                <w:color w:val="000000"/>
                <w:sz w:val="20"/>
                <w:szCs w:val="20"/>
              </w:rPr>
              <w:t xml:space="preserve">3. Establish possible hours open, actual hours open and hours used. </w:t>
            </w:r>
          </w:p>
        </w:tc>
        <w:tc>
          <w:tcPr>
            <w:tcW w:w="2126" w:type="dxa"/>
          </w:tcPr>
          <w:p w:rsidR="00D02973" w:rsidRDefault="00D02973" w:rsidP="00021EBB">
            <w:pPr>
              <w:autoSpaceDE w:val="0"/>
              <w:autoSpaceDN w:val="0"/>
              <w:adjustRightInd w:val="0"/>
              <w:spacing w:after="0"/>
              <w:rPr>
                <w:rFonts w:cs="Calibri"/>
                <w:color w:val="000000"/>
                <w:sz w:val="20"/>
                <w:szCs w:val="20"/>
              </w:rPr>
            </w:pPr>
            <w:r w:rsidRPr="00EA4B2C">
              <w:rPr>
                <w:rFonts w:cs="Calibri"/>
                <w:color w:val="000000"/>
                <w:sz w:val="20"/>
                <w:szCs w:val="20"/>
              </w:rPr>
              <w:t xml:space="preserve">Internal Resources </w:t>
            </w:r>
          </w:p>
          <w:p w:rsidR="00CB7DC6" w:rsidRDefault="00CB7DC6" w:rsidP="00021EBB">
            <w:pPr>
              <w:autoSpaceDE w:val="0"/>
              <w:autoSpaceDN w:val="0"/>
              <w:adjustRightInd w:val="0"/>
              <w:spacing w:after="0"/>
              <w:rPr>
                <w:rFonts w:cs="Calibri"/>
                <w:color w:val="000000"/>
                <w:sz w:val="20"/>
                <w:szCs w:val="20"/>
              </w:rPr>
            </w:pPr>
          </w:p>
          <w:p w:rsidR="00CB7DC6" w:rsidRDefault="00CB7DC6" w:rsidP="00021EBB">
            <w:pPr>
              <w:autoSpaceDE w:val="0"/>
              <w:autoSpaceDN w:val="0"/>
              <w:adjustRightInd w:val="0"/>
              <w:spacing w:after="0"/>
              <w:rPr>
                <w:rFonts w:cs="Calibri"/>
                <w:color w:val="000000"/>
                <w:sz w:val="20"/>
                <w:szCs w:val="20"/>
              </w:rPr>
            </w:pPr>
          </w:p>
          <w:p w:rsidR="00CB7DC6" w:rsidRDefault="00CB7DC6" w:rsidP="00021EBB">
            <w:pPr>
              <w:autoSpaceDE w:val="0"/>
              <w:autoSpaceDN w:val="0"/>
              <w:adjustRightInd w:val="0"/>
              <w:spacing w:after="0"/>
              <w:rPr>
                <w:rFonts w:cs="Calibri"/>
                <w:color w:val="000000"/>
                <w:sz w:val="20"/>
                <w:szCs w:val="20"/>
              </w:rPr>
            </w:pPr>
          </w:p>
          <w:p w:rsidR="00CB7DC6" w:rsidRDefault="00CB7DC6" w:rsidP="00021EBB">
            <w:pPr>
              <w:autoSpaceDE w:val="0"/>
              <w:autoSpaceDN w:val="0"/>
              <w:adjustRightInd w:val="0"/>
              <w:spacing w:after="0"/>
              <w:rPr>
                <w:rFonts w:cs="Calibri"/>
                <w:color w:val="000000"/>
                <w:sz w:val="20"/>
                <w:szCs w:val="20"/>
              </w:rPr>
            </w:pPr>
          </w:p>
          <w:p w:rsidR="00CB7DC6" w:rsidRDefault="00CB7DC6" w:rsidP="00021EBB">
            <w:pPr>
              <w:autoSpaceDE w:val="0"/>
              <w:autoSpaceDN w:val="0"/>
              <w:adjustRightInd w:val="0"/>
              <w:spacing w:after="0"/>
              <w:rPr>
                <w:rFonts w:cs="Calibri"/>
                <w:color w:val="000000"/>
                <w:sz w:val="20"/>
                <w:szCs w:val="20"/>
              </w:rPr>
            </w:pPr>
          </w:p>
          <w:p w:rsidR="00CB7DC6" w:rsidRPr="00EA4B2C" w:rsidRDefault="00CB7DC6" w:rsidP="00021EBB">
            <w:pPr>
              <w:autoSpaceDE w:val="0"/>
              <w:autoSpaceDN w:val="0"/>
              <w:adjustRightInd w:val="0"/>
              <w:spacing w:after="0"/>
              <w:rPr>
                <w:rFonts w:cs="Calibri"/>
                <w:color w:val="000000"/>
                <w:sz w:val="20"/>
                <w:szCs w:val="20"/>
              </w:rPr>
            </w:pPr>
          </w:p>
        </w:tc>
      </w:tr>
      <w:tr w:rsidR="00D02973" w:rsidRPr="00EA4B2C" w:rsidTr="00021EBB">
        <w:trPr>
          <w:trHeight w:val="709"/>
        </w:trPr>
        <w:tc>
          <w:tcPr>
            <w:tcW w:w="1560" w:type="dxa"/>
          </w:tcPr>
          <w:p w:rsidR="00D02973" w:rsidRPr="00EA4B2C" w:rsidRDefault="00D02973" w:rsidP="00021EBB">
            <w:pPr>
              <w:autoSpaceDE w:val="0"/>
              <w:autoSpaceDN w:val="0"/>
              <w:adjustRightInd w:val="0"/>
              <w:spacing w:after="0"/>
              <w:rPr>
                <w:rFonts w:cs="Calibri"/>
                <w:color w:val="000000"/>
                <w:sz w:val="20"/>
                <w:szCs w:val="20"/>
              </w:rPr>
            </w:pPr>
            <w:r w:rsidRPr="00EA4B2C">
              <w:rPr>
                <w:rFonts w:cs="Calibri"/>
                <w:b/>
                <w:bCs/>
                <w:color w:val="000000"/>
                <w:sz w:val="20"/>
                <w:szCs w:val="20"/>
              </w:rPr>
              <w:t xml:space="preserve">Customer Satisfaction </w:t>
            </w:r>
          </w:p>
          <w:p w:rsidR="00D02973" w:rsidRPr="00EA4B2C" w:rsidRDefault="00D02973" w:rsidP="00021EBB">
            <w:pPr>
              <w:autoSpaceDE w:val="0"/>
              <w:autoSpaceDN w:val="0"/>
              <w:adjustRightInd w:val="0"/>
              <w:spacing w:after="0"/>
              <w:rPr>
                <w:rFonts w:cs="Calibri"/>
                <w:b/>
                <w:bCs/>
                <w:color w:val="000000"/>
                <w:sz w:val="20"/>
                <w:szCs w:val="20"/>
              </w:rPr>
            </w:pPr>
            <w:r w:rsidRPr="00EA4B2C">
              <w:rPr>
                <w:rFonts w:cs="Calibri"/>
                <w:b/>
                <w:bCs/>
                <w:color w:val="000000"/>
                <w:sz w:val="20"/>
                <w:szCs w:val="20"/>
              </w:rPr>
              <w:t xml:space="preserve">(Internal &amp; External) </w:t>
            </w:r>
          </w:p>
        </w:tc>
        <w:tc>
          <w:tcPr>
            <w:tcW w:w="2693" w:type="dxa"/>
          </w:tcPr>
          <w:p w:rsidR="00D02973" w:rsidRPr="00EA4B2C" w:rsidRDefault="00D02973" w:rsidP="00021EBB">
            <w:pPr>
              <w:autoSpaceDE w:val="0"/>
              <w:autoSpaceDN w:val="0"/>
              <w:adjustRightInd w:val="0"/>
              <w:spacing w:after="0"/>
              <w:rPr>
                <w:rFonts w:cs="Calibri"/>
                <w:color w:val="000000"/>
                <w:sz w:val="20"/>
                <w:szCs w:val="20"/>
              </w:rPr>
            </w:pPr>
            <w:r w:rsidRPr="00EA4B2C">
              <w:rPr>
                <w:rFonts w:cs="Calibri"/>
                <w:color w:val="000000"/>
                <w:sz w:val="20"/>
                <w:szCs w:val="20"/>
              </w:rPr>
              <w:t xml:space="preserve">User satisfaction with </w:t>
            </w:r>
          </w:p>
          <w:p w:rsidR="00D02973" w:rsidRPr="00EA4B2C" w:rsidRDefault="00D02973" w:rsidP="00021EBB">
            <w:pPr>
              <w:autoSpaceDE w:val="0"/>
              <w:autoSpaceDN w:val="0"/>
              <w:adjustRightInd w:val="0"/>
              <w:spacing w:after="0"/>
              <w:rPr>
                <w:rFonts w:cs="Calibri"/>
                <w:color w:val="000000"/>
                <w:sz w:val="20"/>
                <w:szCs w:val="20"/>
              </w:rPr>
            </w:pPr>
            <w:r w:rsidRPr="00EA4B2C">
              <w:rPr>
                <w:rFonts w:cs="Calibri"/>
                <w:color w:val="000000"/>
                <w:sz w:val="20"/>
                <w:szCs w:val="20"/>
              </w:rPr>
              <w:t xml:space="preserve">Appearance </w:t>
            </w:r>
          </w:p>
          <w:p w:rsidR="00D02973" w:rsidRPr="00EA4B2C" w:rsidRDefault="00D02973" w:rsidP="00021EBB">
            <w:pPr>
              <w:autoSpaceDE w:val="0"/>
              <w:autoSpaceDN w:val="0"/>
              <w:adjustRightInd w:val="0"/>
              <w:spacing w:after="0"/>
              <w:rPr>
                <w:rFonts w:cs="Calibri"/>
                <w:color w:val="000000"/>
                <w:sz w:val="20"/>
                <w:szCs w:val="20"/>
              </w:rPr>
            </w:pPr>
            <w:r w:rsidRPr="00EA4B2C">
              <w:rPr>
                <w:rFonts w:cs="Calibri"/>
                <w:color w:val="000000"/>
                <w:sz w:val="20"/>
                <w:szCs w:val="20"/>
              </w:rPr>
              <w:t xml:space="preserve">Fitness for use </w:t>
            </w:r>
          </w:p>
          <w:p w:rsidR="00D02973" w:rsidRPr="00EA4B2C" w:rsidRDefault="00D02973" w:rsidP="00021EBB">
            <w:pPr>
              <w:autoSpaceDE w:val="0"/>
              <w:autoSpaceDN w:val="0"/>
              <w:adjustRightInd w:val="0"/>
              <w:spacing w:after="0"/>
              <w:rPr>
                <w:rFonts w:cs="Calibri"/>
                <w:color w:val="000000"/>
                <w:sz w:val="20"/>
                <w:szCs w:val="20"/>
              </w:rPr>
            </w:pPr>
            <w:r w:rsidRPr="00EA4B2C">
              <w:rPr>
                <w:rFonts w:cs="Calibri"/>
                <w:color w:val="000000"/>
                <w:sz w:val="20"/>
                <w:szCs w:val="20"/>
              </w:rPr>
              <w:t xml:space="preserve">Comfort </w:t>
            </w:r>
          </w:p>
          <w:p w:rsidR="00D02973" w:rsidRPr="00EA4B2C" w:rsidRDefault="00D02973" w:rsidP="00021EBB">
            <w:pPr>
              <w:autoSpaceDE w:val="0"/>
              <w:autoSpaceDN w:val="0"/>
              <w:adjustRightInd w:val="0"/>
              <w:spacing w:after="0"/>
              <w:rPr>
                <w:rFonts w:cs="Calibri"/>
                <w:color w:val="000000"/>
                <w:sz w:val="20"/>
                <w:szCs w:val="20"/>
              </w:rPr>
            </w:pPr>
            <w:r w:rsidRPr="00EA4B2C">
              <w:rPr>
                <w:rFonts w:cs="Calibri"/>
                <w:color w:val="000000"/>
                <w:sz w:val="20"/>
                <w:szCs w:val="20"/>
              </w:rPr>
              <w:t xml:space="preserve">Availability </w:t>
            </w:r>
          </w:p>
          <w:p w:rsidR="00D02973" w:rsidRPr="00EA4B2C" w:rsidRDefault="00D02973" w:rsidP="00021EBB">
            <w:pPr>
              <w:autoSpaceDE w:val="0"/>
              <w:autoSpaceDN w:val="0"/>
              <w:adjustRightInd w:val="0"/>
              <w:spacing w:after="0"/>
              <w:rPr>
                <w:rFonts w:cs="Calibri"/>
                <w:color w:val="000000"/>
                <w:sz w:val="20"/>
                <w:szCs w:val="20"/>
              </w:rPr>
            </w:pPr>
            <w:r w:rsidRPr="00EA4B2C">
              <w:rPr>
                <w:rFonts w:cs="Calibri"/>
                <w:color w:val="000000"/>
                <w:sz w:val="20"/>
                <w:szCs w:val="20"/>
              </w:rPr>
              <w:t xml:space="preserve">Communication </w:t>
            </w:r>
          </w:p>
        </w:tc>
        <w:tc>
          <w:tcPr>
            <w:tcW w:w="2126" w:type="dxa"/>
          </w:tcPr>
          <w:p w:rsidR="00D02973" w:rsidRPr="00EA4B2C" w:rsidRDefault="00D02973" w:rsidP="00021EBB">
            <w:pPr>
              <w:autoSpaceDE w:val="0"/>
              <w:autoSpaceDN w:val="0"/>
              <w:adjustRightInd w:val="0"/>
              <w:spacing w:after="0"/>
              <w:rPr>
                <w:rFonts w:cs="Calibri"/>
                <w:color w:val="000000"/>
                <w:sz w:val="20"/>
                <w:szCs w:val="20"/>
              </w:rPr>
            </w:pPr>
            <w:r w:rsidRPr="00EA4B2C">
              <w:rPr>
                <w:rFonts w:cs="Calibri"/>
                <w:color w:val="000000"/>
                <w:sz w:val="20"/>
                <w:szCs w:val="20"/>
              </w:rPr>
              <w:t>Biennial customer survey</w:t>
            </w:r>
          </w:p>
        </w:tc>
        <w:tc>
          <w:tcPr>
            <w:tcW w:w="2285" w:type="dxa"/>
          </w:tcPr>
          <w:p w:rsidR="00D02973" w:rsidRPr="00EA4B2C" w:rsidRDefault="00D02973" w:rsidP="00021EBB">
            <w:pPr>
              <w:autoSpaceDE w:val="0"/>
              <w:autoSpaceDN w:val="0"/>
              <w:adjustRightInd w:val="0"/>
              <w:spacing w:after="0"/>
              <w:rPr>
                <w:rFonts w:cs="Calibri"/>
                <w:color w:val="000000"/>
                <w:sz w:val="20"/>
                <w:szCs w:val="20"/>
              </w:rPr>
            </w:pPr>
            <w:r>
              <w:rPr>
                <w:rFonts w:cs="Calibri"/>
                <w:color w:val="000000"/>
                <w:sz w:val="20"/>
                <w:szCs w:val="20"/>
              </w:rPr>
              <w:t>Bayside’s performance for recreation and open space assets was benchmarked against the State average. For recreation assets, the Statewide was 74, and for ‘public areas’ the average was 72.</w:t>
            </w:r>
          </w:p>
        </w:tc>
        <w:tc>
          <w:tcPr>
            <w:tcW w:w="2085" w:type="dxa"/>
          </w:tcPr>
          <w:p w:rsidR="00D02973" w:rsidRPr="00EA4B2C" w:rsidRDefault="00D02973" w:rsidP="00021EBB">
            <w:pPr>
              <w:autoSpaceDE w:val="0"/>
              <w:autoSpaceDN w:val="0"/>
              <w:adjustRightInd w:val="0"/>
              <w:spacing w:after="0"/>
              <w:rPr>
                <w:rFonts w:cs="Calibri"/>
                <w:color w:val="000000"/>
                <w:sz w:val="20"/>
                <w:szCs w:val="20"/>
              </w:rPr>
            </w:pPr>
            <w:r>
              <w:rPr>
                <w:rFonts w:cs="Calibri"/>
                <w:color w:val="000000"/>
                <w:sz w:val="20"/>
                <w:szCs w:val="20"/>
              </w:rPr>
              <w:t>Recreational assets received a score of 71 and a score of 74 for open space (public areas).</w:t>
            </w:r>
            <w:r>
              <w:rPr>
                <w:rStyle w:val="FootnoteReference"/>
                <w:color w:val="000000"/>
                <w:sz w:val="20"/>
                <w:szCs w:val="20"/>
              </w:rPr>
              <w:footnoteReference w:id="16"/>
            </w:r>
          </w:p>
        </w:tc>
        <w:tc>
          <w:tcPr>
            <w:tcW w:w="2576" w:type="dxa"/>
          </w:tcPr>
          <w:p w:rsidR="00D02973" w:rsidRPr="00EA4B2C" w:rsidRDefault="00D02973" w:rsidP="00021EBB">
            <w:pPr>
              <w:autoSpaceDE w:val="0"/>
              <w:autoSpaceDN w:val="0"/>
              <w:adjustRightInd w:val="0"/>
              <w:spacing w:after="0"/>
              <w:rPr>
                <w:rFonts w:cs="Calibri"/>
                <w:color w:val="000000"/>
                <w:sz w:val="20"/>
                <w:szCs w:val="20"/>
              </w:rPr>
            </w:pPr>
            <w:r w:rsidRPr="00EA4B2C">
              <w:rPr>
                <w:rFonts w:cs="Calibri"/>
                <w:color w:val="000000"/>
                <w:sz w:val="20"/>
                <w:szCs w:val="20"/>
              </w:rPr>
              <w:t xml:space="preserve">1. An initial assessment of users to established what will satisfy needs in regards to: </w:t>
            </w:r>
          </w:p>
          <w:p w:rsidR="00D02973" w:rsidRPr="00EA4B2C" w:rsidRDefault="00D02973" w:rsidP="00021EBB">
            <w:pPr>
              <w:autoSpaceDE w:val="0"/>
              <w:autoSpaceDN w:val="0"/>
              <w:adjustRightInd w:val="0"/>
              <w:spacing w:after="0"/>
              <w:rPr>
                <w:rFonts w:cs="Calibri"/>
                <w:color w:val="000000"/>
                <w:sz w:val="20"/>
                <w:szCs w:val="20"/>
              </w:rPr>
            </w:pPr>
            <w:r w:rsidRPr="00EA4B2C">
              <w:rPr>
                <w:rFonts w:cs="Calibri"/>
                <w:color w:val="000000"/>
                <w:sz w:val="20"/>
                <w:szCs w:val="20"/>
              </w:rPr>
              <w:t xml:space="preserve">Appearance </w:t>
            </w:r>
          </w:p>
          <w:p w:rsidR="00D02973" w:rsidRPr="00EA4B2C" w:rsidRDefault="00D02973" w:rsidP="00021EBB">
            <w:pPr>
              <w:autoSpaceDE w:val="0"/>
              <w:autoSpaceDN w:val="0"/>
              <w:adjustRightInd w:val="0"/>
              <w:spacing w:after="0"/>
              <w:rPr>
                <w:rFonts w:cs="Calibri"/>
                <w:color w:val="000000"/>
                <w:sz w:val="20"/>
                <w:szCs w:val="20"/>
              </w:rPr>
            </w:pPr>
            <w:r w:rsidRPr="00EA4B2C">
              <w:rPr>
                <w:rFonts w:cs="Calibri"/>
                <w:color w:val="000000"/>
                <w:sz w:val="20"/>
                <w:szCs w:val="20"/>
              </w:rPr>
              <w:t xml:space="preserve">Fitness for use </w:t>
            </w:r>
          </w:p>
          <w:p w:rsidR="00D02973" w:rsidRPr="00EA4B2C" w:rsidRDefault="00D02973" w:rsidP="00021EBB">
            <w:pPr>
              <w:autoSpaceDE w:val="0"/>
              <w:autoSpaceDN w:val="0"/>
              <w:adjustRightInd w:val="0"/>
              <w:spacing w:after="0"/>
              <w:rPr>
                <w:rFonts w:cs="Calibri"/>
                <w:color w:val="000000"/>
                <w:sz w:val="20"/>
                <w:szCs w:val="20"/>
              </w:rPr>
            </w:pPr>
            <w:r w:rsidRPr="00EA4B2C">
              <w:rPr>
                <w:rFonts w:cs="Calibri"/>
                <w:color w:val="000000"/>
                <w:sz w:val="20"/>
                <w:szCs w:val="20"/>
              </w:rPr>
              <w:t xml:space="preserve">Comfort </w:t>
            </w:r>
          </w:p>
          <w:p w:rsidR="00D02973" w:rsidRPr="00EA4B2C" w:rsidRDefault="00D02973" w:rsidP="00021EBB">
            <w:pPr>
              <w:autoSpaceDE w:val="0"/>
              <w:autoSpaceDN w:val="0"/>
              <w:adjustRightInd w:val="0"/>
              <w:spacing w:after="0"/>
              <w:rPr>
                <w:rFonts w:cs="Calibri"/>
                <w:color w:val="000000"/>
                <w:sz w:val="20"/>
                <w:szCs w:val="20"/>
              </w:rPr>
            </w:pPr>
            <w:r w:rsidRPr="00EA4B2C">
              <w:rPr>
                <w:rFonts w:cs="Calibri"/>
                <w:color w:val="000000"/>
                <w:sz w:val="20"/>
                <w:szCs w:val="20"/>
              </w:rPr>
              <w:t xml:space="preserve">Availability </w:t>
            </w:r>
          </w:p>
          <w:p w:rsidR="00D02973" w:rsidRPr="00EA4B2C" w:rsidRDefault="00D02973" w:rsidP="00021EBB">
            <w:pPr>
              <w:autoSpaceDE w:val="0"/>
              <w:autoSpaceDN w:val="0"/>
              <w:adjustRightInd w:val="0"/>
              <w:spacing w:after="0"/>
              <w:rPr>
                <w:rFonts w:cs="Calibri"/>
                <w:color w:val="000000"/>
                <w:sz w:val="20"/>
                <w:szCs w:val="20"/>
              </w:rPr>
            </w:pPr>
            <w:r w:rsidRPr="00EA4B2C">
              <w:rPr>
                <w:rFonts w:cs="Calibri"/>
                <w:color w:val="000000"/>
                <w:sz w:val="20"/>
                <w:szCs w:val="20"/>
              </w:rPr>
              <w:t xml:space="preserve">Communication </w:t>
            </w:r>
          </w:p>
        </w:tc>
        <w:tc>
          <w:tcPr>
            <w:tcW w:w="2126" w:type="dxa"/>
          </w:tcPr>
          <w:p w:rsidR="00D02973" w:rsidRPr="00EA4B2C" w:rsidRDefault="00D02973" w:rsidP="00021EBB">
            <w:pPr>
              <w:autoSpaceDE w:val="0"/>
              <w:autoSpaceDN w:val="0"/>
              <w:adjustRightInd w:val="0"/>
              <w:spacing w:after="0"/>
              <w:rPr>
                <w:rFonts w:cs="Calibri"/>
                <w:color w:val="000000"/>
                <w:sz w:val="20"/>
                <w:szCs w:val="20"/>
              </w:rPr>
            </w:pPr>
            <w:r w:rsidRPr="00EA4B2C">
              <w:rPr>
                <w:rFonts w:cs="Calibri"/>
                <w:color w:val="000000"/>
                <w:sz w:val="20"/>
                <w:szCs w:val="20"/>
              </w:rPr>
              <w:t xml:space="preserve">Internal Resources </w:t>
            </w:r>
          </w:p>
        </w:tc>
      </w:tr>
      <w:tr w:rsidR="00D02973" w:rsidRPr="00EA4B2C" w:rsidTr="00021EBB">
        <w:trPr>
          <w:trHeight w:val="709"/>
        </w:trPr>
        <w:tc>
          <w:tcPr>
            <w:tcW w:w="1560" w:type="dxa"/>
          </w:tcPr>
          <w:p w:rsidR="00D02973" w:rsidRPr="00EA4B2C" w:rsidRDefault="00D02973" w:rsidP="00021EBB">
            <w:pPr>
              <w:autoSpaceDE w:val="0"/>
              <w:autoSpaceDN w:val="0"/>
              <w:adjustRightInd w:val="0"/>
              <w:spacing w:after="0"/>
              <w:rPr>
                <w:rFonts w:cs="Calibri"/>
                <w:b/>
                <w:bCs/>
                <w:color w:val="000000"/>
                <w:sz w:val="20"/>
                <w:szCs w:val="20"/>
              </w:rPr>
            </w:pPr>
            <w:r w:rsidRPr="00EA4B2C">
              <w:rPr>
                <w:rFonts w:cs="Calibri"/>
                <w:b/>
                <w:bCs/>
                <w:color w:val="000000"/>
                <w:sz w:val="20"/>
                <w:szCs w:val="20"/>
              </w:rPr>
              <w:t xml:space="preserve">Environment </w:t>
            </w:r>
          </w:p>
        </w:tc>
        <w:tc>
          <w:tcPr>
            <w:tcW w:w="2693" w:type="dxa"/>
          </w:tcPr>
          <w:p w:rsidR="00D02973" w:rsidRPr="00EA4B2C" w:rsidRDefault="00D02973" w:rsidP="00021EBB">
            <w:pPr>
              <w:autoSpaceDE w:val="0"/>
              <w:autoSpaceDN w:val="0"/>
              <w:adjustRightInd w:val="0"/>
              <w:spacing w:after="0"/>
              <w:rPr>
                <w:rFonts w:cs="Calibri"/>
                <w:color w:val="000000"/>
                <w:sz w:val="20"/>
                <w:szCs w:val="20"/>
              </w:rPr>
            </w:pPr>
            <w:r w:rsidRPr="00EA4B2C">
              <w:rPr>
                <w:rFonts w:cs="Calibri"/>
                <w:color w:val="000000"/>
                <w:sz w:val="20"/>
                <w:szCs w:val="20"/>
              </w:rPr>
              <w:t xml:space="preserve">A commitment to continually improve environmental efficiencies. </w:t>
            </w:r>
          </w:p>
        </w:tc>
        <w:tc>
          <w:tcPr>
            <w:tcW w:w="2126" w:type="dxa"/>
          </w:tcPr>
          <w:p w:rsidR="00D02973" w:rsidRPr="00EA4B2C" w:rsidRDefault="00D02973" w:rsidP="00021EBB">
            <w:pPr>
              <w:autoSpaceDE w:val="0"/>
              <w:autoSpaceDN w:val="0"/>
              <w:adjustRightInd w:val="0"/>
              <w:spacing w:after="0"/>
              <w:rPr>
                <w:rFonts w:cs="Calibri"/>
                <w:color w:val="000000"/>
                <w:sz w:val="20"/>
                <w:szCs w:val="20"/>
              </w:rPr>
            </w:pPr>
            <w:r w:rsidRPr="00EA4B2C">
              <w:rPr>
                <w:rFonts w:cs="Calibri"/>
                <w:color w:val="000000"/>
                <w:sz w:val="20"/>
                <w:szCs w:val="20"/>
              </w:rPr>
              <w:t xml:space="preserve">Using sound environmental practices. </w:t>
            </w:r>
          </w:p>
        </w:tc>
        <w:tc>
          <w:tcPr>
            <w:tcW w:w="2285" w:type="dxa"/>
          </w:tcPr>
          <w:p w:rsidR="00D02973" w:rsidRPr="00EA4B2C" w:rsidRDefault="00D02973" w:rsidP="00021EBB">
            <w:pPr>
              <w:autoSpaceDE w:val="0"/>
              <w:autoSpaceDN w:val="0"/>
              <w:adjustRightInd w:val="0"/>
              <w:spacing w:after="0"/>
              <w:rPr>
                <w:rFonts w:cs="Calibri"/>
                <w:color w:val="000000"/>
                <w:sz w:val="20"/>
                <w:szCs w:val="20"/>
              </w:rPr>
            </w:pPr>
            <w:r w:rsidRPr="00EA4B2C">
              <w:rPr>
                <w:rFonts w:cs="Calibri"/>
                <w:color w:val="000000"/>
                <w:sz w:val="20"/>
                <w:szCs w:val="20"/>
              </w:rPr>
              <w:t xml:space="preserve">100% of all new recreation and open spaces and upgrades to existing recreation and open spaces to be designed to minimise environmental impacts. </w:t>
            </w:r>
          </w:p>
          <w:p w:rsidR="00D02973" w:rsidRPr="00EA4B2C" w:rsidRDefault="00D02973" w:rsidP="00021EBB">
            <w:pPr>
              <w:autoSpaceDE w:val="0"/>
              <w:autoSpaceDN w:val="0"/>
              <w:adjustRightInd w:val="0"/>
              <w:spacing w:after="0"/>
              <w:rPr>
                <w:rFonts w:cs="Calibri"/>
                <w:color w:val="000000"/>
                <w:sz w:val="20"/>
                <w:szCs w:val="20"/>
              </w:rPr>
            </w:pPr>
            <w:r w:rsidRPr="00EA4B2C">
              <w:rPr>
                <w:rFonts w:cs="Wingdings"/>
                <w:color w:val="000000"/>
                <w:sz w:val="20"/>
                <w:szCs w:val="20"/>
              </w:rPr>
              <w:t></w:t>
            </w:r>
            <w:r w:rsidRPr="00EA4B2C">
              <w:rPr>
                <w:rFonts w:cs="Wingdings"/>
                <w:color w:val="000000"/>
                <w:sz w:val="20"/>
                <w:szCs w:val="20"/>
              </w:rPr>
              <w:t></w:t>
            </w:r>
            <w:r w:rsidRPr="00EA4B2C">
              <w:rPr>
                <w:rFonts w:cs="Calibri"/>
                <w:color w:val="000000"/>
                <w:sz w:val="20"/>
                <w:szCs w:val="20"/>
              </w:rPr>
              <w:t xml:space="preserve">Reduce energy &amp; water consumption </w:t>
            </w:r>
          </w:p>
          <w:p w:rsidR="00D02973" w:rsidRPr="00EA4B2C" w:rsidRDefault="00D02973" w:rsidP="00021EBB">
            <w:pPr>
              <w:autoSpaceDE w:val="0"/>
              <w:autoSpaceDN w:val="0"/>
              <w:adjustRightInd w:val="0"/>
              <w:spacing w:after="0"/>
              <w:rPr>
                <w:rFonts w:cs="Calibri"/>
                <w:color w:val="000000"/>
                <w:sz w:val="20"/>
                <w:szCs w:val="20"/>
              </w:rPr>
            </w:pPr>
            <w:r w:rsidRPr="00EA4B2C">
              <w:rPr>
                <w:rFonts w:cs="Wingdings"/>
                <w:color w:val="000000"/>
                <w:sz w:val="20"/>
                <w:szCs w:val="20"/>
              </w:rPr>
              <w:t></w:t>
            </w:r>
            <w:r w:rsidRPr="00EA4B2C">
              <w:rPr>
                <w:rFonts w:cs="Wingdings"/>
                <w:color w:val="000000"/>
                <w:sz w:val="20"/>
                <w:szCs w:val="20"/>
              </w:rPr>
              <w:t></w:t>
            </w:r>
            <w:r w:rsidRPr="00EA4B2C">
              <w:rPr>
                <w:rFonts w:cs="Calibri"/>
                <w:color w:val="000000"/>
                <w:sz w:val="20"/>
                <w:szCs w:val="20"/>
              </w:rPr>
              <w:t xml:space="preserve">Use buy recycle products where possible </w:t>
            </w:r>
          </w:p>
        </w:tc>
        <w:tc>
          <w:tcPr>
            <w:tcW w:w="2085" w:type="dxa"/>
          </w:tcPr>
          <w:p w:rsidR="00D02973" w:rsidRPr="00EA4B2C" w:rsidRDefault="00D02973" w:rsidP="00021EBB">
            <w:pPr>
              <w:autoSpaceDE w:val="0"/>
              <w:autoSpaceDN w:val="0"/>
              <w:adjustRightInd w:val="0"/>
              <w:spacing w:after="0"/>
              <w:rPr>
                <w:rFonts w:cs="Calibri"/>
                <w:color w:val="000000"/>
                <w:sz w:val="20"/>
                <w:szCs w:val="20"/>
              </w:rPr>
            </w:pPr>
            <w:r w:rsidRPr="00EA4B2C">
              <w:rPr>
                <w:rFonts w:cs="Calibri"/>
                <w:color w:val="000000"/>
                <w:sz w:val="20"/>
                <w:szCs w:val="20"/>
              </w:rPr>
              <w:t xml:space="preserve">Not yet assessed </w:t>
            </w:r>
          </w:p>
        </w:tc>
        <w:tc>
          <w:tcPr>
            <w:tcW w:w="2576" w:type="dxa"/>
          </w:tcPr>
          <w:p w:rsidR="00D02973" w:rsidRPr="00EA4B2C" w:rsidRDefault="00D02973" w:rsidP="00021EBB">
            <w:pPr>
              <w:autoSpaceDE w:val="0"/>
              <w:autoSpaceDN w:val="0"/>
              <w:adjustRightInd w:val="0"/>
              <w:spacing w:after="0"/>
              <w:rPr>
                <w:rFonts w:cs="Calibri"/>
                <w:color w:val="000000"/>
                <w:sz w:val="20"/>
                <w:szCs w:val="20"/>
              </w:rPr>
            </w:pPr>
            <w:r w:rsidRPr="00EA4B2C">
              <w:rPr>
                <w:rFonts w:cs="Calibri"/>
                <w:color w:val="000000"/>
                <w:sz w:val="20"/>
                <w:szCs w:val="20"/>
              </w:rPr>
              <w:t xml:space="preserve">1. Develop policy and procedures to minimise energy use. </w:t>
            </w:r>
          </w:p>
          <w:p w:rsidR="00D02973" w:rsidRPr="00EA4B2C" w:rsidRDefault="00D02973" w:rsidP="00021EBB">
            <w:pPr>
              <w:autoSpaceDE w:val="0"/>
              <w:autoSpaceDN w:val="0"/>
              <w:adjustRightInd w:val="0"/>
              <w:spacing w:after="0"/>
              <w:rPr>
                <w:rFonts w:cs="Calibri"/>
                <w:color w:val="000000"/>
                <w:sz w:val="20"/>
                <w:szCs w:val="20"/>
              </w:rPr>
            </w:pPr>
            <w:r w:rsidRPr="00EA4B2C">
              <w:rPr>
                <w:rFonts w:cs="Calibri"/>
                <w:color w:val="000000"/>
                <w:sz w:val="20"/>
                <w:szCs w:val="20"/>
              </w:rPr>
              <w:t xml:space="preserve">2. Staff and service provider training. </w:t>
            </w:r>
          </w:p>
          <w:p w:rsidR="00D02973" w:rsidRPr="00EA4B2C" w:rsidRDefault="00D02973" w:rsidP="00021EBB">
            <w:pPr>
              <w:autoSpaceDE w:val="0"/>
              <w:autoSpaceDN w:val="0"/>
              <w:adjustRightInd w:val="0"/>
              <w:spacing w:after="0"/>
              <w:rPr>
                <w:rFonts w:cs="Calibri"/>
                <w:color w:val="000000"/>
                <w:sz w:val="20"/>
                <w:szCs w:val="20"/>
              </w:rPr>
            </w:pPr>
            <w:r w:rsidRPr="00EA4B2C">
              <w:rPr>
                <w:rFonts w:cs="Calibri"/>
                <w:color w:val="000000"/>
                <w:sz w:val="20"/>
                <w:szCs w:val="20"/>
              </w:rPr>
              <w:t>3. Identify recycled products that can be used in the maintenance, renewal or upgrade of recreation and open spaces.</w:t>
            </w:r>
          </w:p>
        </w:tc>
        <w:tc>
          <w:tcPr>
            <w:tcW w:w="2126" w:type="dxa"/>
          </w:tcPr>
          <w:p w:rsidR="00D02973" w:rsidRPr="00EA4B2C" w:rsidRDefault="00D02973" w:rsidP="00021EBB">
            <w:pPr>
              <w:autoSpaceDE w:val="0"/>
              <w:autoSpaceDN w:val="0"/>
              <w:adjustRightInd w:val="0"/>
              <w:spacing w:after="0"/>
              <w:rPr>
                <w:rFonts w:cs="Calibri"/>
                <w:color w:val="000000"/>
                <w:sz w:val="20"/>
                <w:szCs w:val="20"/>
              </w:rPr>
            </w:pPr>
            <w:r w:rsidRPr="00EA4B2C">
              <w:rPr>
                <w:rFonts w:cs="Calibri"/>
                <w:color w:val="000000"/>
                <w:sz w:val="20"/>
                <w:szCs w:val="20"/>
              </w:rPr>
              <w:t xml:space="preserve">Internal Resources </w:t>
            </w:r>
          </w:p>
        </w:tc>
      </w:tr>
      <w:tr w:rsidR="00D02973" w:rsidRPr="00EA4B2C" w:rsidTr="00021EBB">
        <w:trPr>
          <w:trHeight w:val="709"/>
        </w:trPr>
        <w:tc>
          <w:tcPr>
            <w:tcW w:w="1560" w:type="dxa"/>
          </w:tcPr>
          <w:p w:rsidR="00D02973" w:rsidRPr="00EA4B2C" w:rsidRDefault="00D02973" w:rsidP="00021EBB">
            <w:pPr>
              <w:autoSpaceDE w:val="0"/>
              <w:autoSpaceDN w:val="0"/>
              <w:adjustRightInd w:val="0"/>
              <w:spacing w:after="0"/>
              <w:rPr>
                <w:rFonts w:cs="Calibri"/>
                <w:b/>
                <w:bCs/>
                <w:color w:val="000000"/>
                <w:sz w:val="20"/>
                <w:szCs w:val="20"/>
              </w:rPr>
            </w:pPr>
            <w:r w:rsidRPr="00EA4B2C">
              <w:rPr>
                <w:rFonts w:cs="Calibri"/>
                <w:b/>
                <w:bCs/>
                <w:color w:val="000000"/>
                <w:sz w:val="20"/>
                <w:szCs w:val="20"/>
              </w:rPr>
              <w:t xml:space="preserve">Cost effectiveness </w:t>
            </w:r>
          </w:p>
        </w:tc>
        <w:tc>
          <w:tcPr>
            <w:tcW w:w="2693" w:type="dxa"/>
          </w:tcPr>
          <w:p w:rsidR="00D02973" w:rsidRPr="00EA4B2C" w:rsidRDefault="00D02973" w:rsidP="00021EBB">
            <w:pPr>
              <w:autoSpaceDE w:val="0"/>
              <w:autoSpaceDN w:val="0"/>
              <w:adjustRightInd w:val="0"/>
              <w:spacing w:after="0"/>
              <w:rPr>
                <w:rFonts w:cs="Calibri"/>
                <w:color w:val="000000"/>
                <w:sz w:val="20"/>
                <w:szCs w:val="20"/>
              </w:rPr>
            </w:pPr>
            <w:r w:rsidRPr="00EA4B2C">
              <w:rPr>
                <w:rFonts w:cs="Calibri"/>
                <w:color w:val="000000"/>
                <w:sz w:val="20"/>
                <w:szCs w:val="20"/>
              </w:rPr>
              <w:t xml:space="preserve">To provide the required services in the most cost effective manner </w:t>
            </w:r>
          </w:p>
        </w:tc>
        <w:tc>
          <w:tcPr>
            <w:tcW w:w="2126" w:type="dxa"/>
          </w:tcPr>
          <w:p w:rsidR="00D02973" w:rsidRPr="00EA4B2C" w:rsidRDefault="00D02973" w:rsidP="00021EBB">
            <w:pPr>
              <w:autoSpaceDE w:val="0"/>
              <w:autoSpaceDN w:val="0"/>
              <w:adjustRightInd w:val="0"/>
              <w:spacing w:after="0"/>
              <w:rPr>
                <w:rFonts w:cs="Calibri"/>
                <w:color w:val="000000"/>
                <w:sz w:val="20"/>
                <w:szCs w:val="20"/>
              </w:rPr>
            </w:pPr>
            <w:r w:rsidRPr="00EA4B2C">
              <w:rPr>
                <w:rFonts w:cs="Calibri"/>
                <w:color w:val="000000"/>
                <w:sz w:val="20"/>
                <w:szCs w:val="20"/>
              </w:rPr>
              <w:t xml:space="preserve">Review recreation and open space life cycle costs and identify areas for improvement. </w:t>
            </w:r>
          </w:p>
          <w:p w:rsidR="00D02973" w:rsidRPr="00EA4B2C" w:rsidRDefault="00D02973" w:rsidP="00021EBB">
            <w:pPr>
              <w:autoSpaceDE w:val="0"/>
              <w:autoSpaceDN w:val="0"/>
              <w:adjustRightInd w:val="0"/>
              <w:spacing w:after="0"/>
              <w:rPr>
                <w:rFonts w:cs="Calibri"/>
                <w:color w:val="000000"/>
                <w:sz w:val="20"/>
                <w:szCs w:val="20"/>
              </w:rPr>
            </w:pPr>
            <w:r w:rsidRPr="00EA4B2C">
              <w:rPr>
                <w:rFonts w:cs="Calibri"/>
                <w:color w:val="000000"/>
                <w:sz w:val="20"/>
                <w:szCs w:val="20"/>
              </w:rPr>
              <w:t xml:space="preserve">Audit of maintenance and capital works for costs and standard of works. </w:t>
            </w:r>
          </w:p>
        </w:tc>
        <w:tc>
          <w:tcPr>
            <w:tcW w:w="2285" w:type="dxa"/>
          </w:tcPr>
          <w:p w:rsidR="00D02973" w:rsidRPr="00EA4B2C" w:rsidRDefault="00D02973" w:rsidP="00021EBB">
            <w:pPr>
              <w:autoSpaceDE w:val="0"/>
              <w:autoSpaceDN w:val="0"/>
              <w:adjustRightInd w:val="0"/>
              <w:spacing w:after="0"/>
              <w:rPr>
                <w:rFonts w:cs="Calibri"/>
                <w:color w:val="000000"/>
                <w:sz w:val="20"/>
                <w:szCs w:val="20"/>
              </w:rPr>
            </w:pPr>
            <w:r w:rsidRPr="00EA4B2C">
              <w:rPr>
                <w:rFonts w:cs="Calibri"/>
                <w:color w:val="000000"/>
                <w:sz w:val="20"/>
                <w:szCs w:val="20"/>
              </w:rPr>
              <w:t xml:space="preserve">To provide the required services in the most cost effective manner </w:t>
            </w:r>
          </w:p>
        </w:tc>
        <w:tc>
          <w:tcPr>
            <w:tcW w:w="2085" w:type="dxa"/>
          </w:tcPr>
          <w:p w:rsidR="00D02973" w:rsidRPr="00EA4B2C" w:rsidRDefault="00D02973" w:rsidP="00021EBB">
            <w:pPr>
              <w:autoSpaceDE w:val="0"/>
              <w:autoSpaceDN w:val="0"/>
              <w:adjustRightInd w:val="0"/>
              <w:spacing w:after="0"/>
              <w:rPr>
                <w:rFonts w:cs="Calibri"/>
                <w:color w:val="000000"/>
                <w:sz w:val="20"/>
                <w:szCs w:val="20"/>
              </w:rPr>
            </w:pPr>
            <w:r>
              <w:rPr>
                <w:rFonts w:cs="Calibri"/>
                <w:color w:val="000000"/>
                <w:sz w:val="20"/>
                <w:szCs w:val="20"/>
              </w:rPr>
              <w:t>Council</w:t>
            </w:r>
            <w:r w:rsidRPr="00EA4B2C">
              <w:rPr>
                <w:rFonts w:cs="Calibri"/>
                <w:color w:val="000000"/>
                <w:sz w:val="20"/>
                <w:szCs w:val="20"/>
              </w:rPr>
              <w:t xml:space="preserve"> manages maintenance and capital works well currently. </w:t>
            </w:r>
          </w:p>
          <w:p w:rsidR="00D02973" w:rsidRPr="00EA4B2C" w:rsidRDefault="00D02973" w:rsidP="00021EBB">
            <w:pPr>
              <w:autoSpaceDE w:val="0"/>
              <w:autoSpaceDN w:val="0"/>
              <w:adjustRightInd w:val="0"/>
              <w:spacing w:after="0"/>
              <w:rPr>
                <w:rFonts w:cs="Calibri"/>
                <w:color w:val="000000"/>
                <w:sz w:val="20"/>
                <w:szCs w:val="20"/>
              </w:rPr>
            </w:pPr>
            <w:r w:rsidRPr="00EA4B2C">
              <w:rPr>
                <w:rFonts w:cs="Calibri"/>
                <w:color w:val="000000"/>
                <w:sz w:val="20"/>
                <w:szCs w:val="20"/>
              </w:rPr>
              <w:t xml:space="preserve">Life cycle cost reviews not currently being done. </w:t>
            </w:r>
          </w:p>
        </w:tc>
        <w:tc>
          <w:tcPr>
            <w:tcW w:w="2576" w:type="dxa"/>
          </w:tcPr>
          <w:p w:rsidR="00D02973" w:rsidRPr="00EA4B2C" w:rsidRDefault="00D02973" w:rsidP="00021EBB">
            <w:pPr>
              <w:autoSpaceDE w:val="0"/>
              <w:autoSpaceDN w:val="0"/>
              <w:adjustRightInd w:val="0"/>
              <w:spacing w:after="0"/>
              <w:rPr>
                <w:rFonts w:cs="Calibri"/>
                <w:color w:val="000000"/>
                <w:sz w:val="20"/>
                <w:szCs w:val="20"/>
              </w:rPr>
            </w:pPr>
            <w:r w:rsidRPr="00EA4B2C">
              <w:rPr>
                <w:rFonts w:cs="Calibri"/>
                <w:color w:val="000000"/>
                <w:sz w:val="20"/>
                <w:szCs w:val="20"/>
              </w:rPr>
              <w:t xml:space="preserve">1. Supervision of service providers. </w:t>
            </w:r>
          </w:p>
          <w:p w:rsidR="00D02973" w:rsidRPr="00EA4B2C" w:rsidRDefault="00D02973" w:rsidP="00021EBB">
            <w:pPr>
              <w:autoSpaceDE w:val="0"/>
              <w:autoSpaceDN w:val="0"/>
              <w:adjustRightInd w:val="0"/>
              <w:spacing w:after="0"/>
              <w:rPr>
                <w:rFonts w:cs="Calibri"/>
                <w:color w:val="000000"/>
                <w:sz w:val="20"/>
                <w:szCs w:val="20"/>
              </w:rPr>
            </w:pPr>
            <w:r w:rsidRPr="00EA4B2C">
              <w:rPr>
                <w:rFonts w:cs="Calibri"/>
                <w:color w:val="000000"/>
                <w:sz w:val="20"/>
                <w:szCs w:val="20"/>
              </w:rPr>
              <w:t xml:space="preserve">2. Capture and assess all life cycle costs per recreation and open space. </w:t>
            </w:r>
          </w:p>
          <w:p w:rsidR="00D02973" w:rsidRPr="00EA4B2C" w:rsidRDefault="00D02973" w:rsidP="00021EBB">
            <w:pPr>
              <w:autoSpaceDE w:val="0"/>
              <w:autoSpaceDN w:val="0"/>
              <w:adjustRightInd w:val="0"/>
              <w:spacing w:after="0"/>
              <w:rPr>
                <w:sz w:val="20"/>
                <w:szCs w:val="20"/>
              </w:rPr>
            </w:pPr>
          </w:p>
        </w:tc>
        <w:tc>
          <w:tcPr>
            <w:tcW w:w="2126" w:type="dxa"/>
          </w:tcPr>
          <w:p w:rsidR="00D02973" w:rsidRPr="00EA4B2C" w:rsidRDefault="00D02973" w:rsidP="00021EBB">
            <w:pPr>
              <w:autoSpaceDE w:val="0"/>
              <w:autoSpaceDN w:val="0"/>
              <w:adjustRightInd w:val="0"/>
              <w:spacing w:after="0"/>
              <w:rPr>
                <w:rFonts w:cs="Calibri"/>
                <w:color w:val="000000"/>
                <w:sz w:val="20"/>
                <w:szCs w:val="20"/>
              </w:rPr>
            </w:pPr>
            <w:r w:rsidRPr="00EA4B2C">
              <w:rPr>
                <w:rFonts w:cs="Calibri"/>
                <w:color w:val="000000"/>
                <w:sz w:val="20"/>
                <w:szCs w:val="20"/>
              </w:rPr>
              <w:t xml:space="preserve">Internal Resources </w:t>
            </w:r>
          </w:p>
          <w:p w:rsidR="00D02973" w:rsidRPr="00EA4B2C" w:rsidRDefault="00D02973" w:rsidP="00021EBB">
            <w:pPr>
              <w:autoSpaceDE w:val="0"/>
              <w:autoSpaceDN w:val="0"/>
              <w:adjustRightInd w:val="0"/>
              <w:spacing w:after="0"/>
              <w:rPr>
                <w:rFonts w:cs="Calibri"/>
                <w:color w:val="000000"/>
                <w:sz w:val="20"/>
                <w:szCs w:val="20"/>
              </w:rPr>
            </w:pPr>
            <w:r w:rsidRPr="00EA4B2C">
              <w:rPr>
                <w:rFonts w:cs="Calibri"/>
                <w:color w:val="000000"/>
                <w:sz w:val="20"/>
                <w:szCs w:val="20"/>
              </w:rPr>
              <w:t xml:space="preserve">Service Providers </w:t>
            </w:r>
          </w:p>
        </w:tc>
      </w:tr>
    </w:tbl>
    <w:p w:rsidR="00D02973" w:rsidRPr="00EA2F26" w:rsidRDefault="00021EBB" w:rsidP="00D02973">
      <w:pPr>
        <w:pStyle w:val="CTAMPBody"/>
        <w:spacing w:after="200" w:line="276" w:lineRule="auto"/>
        <w:rPr>
          <w:rFonts w:asciiTheme="minorHAnsi" w:hAnsiTheme="minorHAnsi"/>
          <w:b/>
        </w:rPr>
      </w:pPr>
      <w:r>
        <w:rPr>
          <w:rFonts w:asciiTheme="minorHAnsi" w:hAnsiTheme="minorHAnsi"/>
          <w:b/>
        </w:rPr>
        <w:br w:type="textWrapping" w:clear="all"/>
      </w:r>
    </w:p>
    <w:p w:rsidR="00D02973" w:rsidRPr="00EA2F26" w:rsidRDefault="00D02973" w:rsidP="00D02973">
      <w:pPr>
        <w:pStyle w:val="CTAMPBody"/>
        <w:spacing w:after="200" w:line="276" w:lineRule="auto"/>
        <w:rPr>
          <w:rFonts w:asciiTheme="minorHAnsi" w:hAnsiTheme="minorHAnsi"/>
          <w:b/>
        </w:rPr>
      </w:pPr>
    </w:p>
    <w:p w:rsidR="00D02973" w:rsidRPr="00EA2F26" w:rsidRDefault="00D02973" w:rsidP="00D02973">
      <w:pPr>
        <w:pStyle w:val="CTAMPBody"/>
        <w:spacing w:after="200" w:line="276" w:lineRule="auto"/>
        <w:rPr>
          <w:rFonts w:asciiTheme="minorHAnsi" w:hAnsiTheme="minorHAnsi"/>
          <w:b/>
        </w:rPr>
        <w:sectPr w:rsidR="00D02973" w:rsidRPr="00EA2F26" w:rsidSect="00DB539A">
          <w:headerReference w:type="default" r:id="rId40"/>
          <w:footerReference w:type="default" r:id="rId41"/>
          <w:headerReference w:type="first" r:id="rId42"/>
          <w:footerReference w:type="first" r:id="rId43"/>
          <w:pgSz w:w="16839" w:h="11907" w:orient="landscape" w:code="9"/>
          <w:pgMar w:top="709" w:right="1440" w:bottom="709" w:left="1985" w:header="708" w:footer="283" w:gutter="0"/>
          <w:cols w:space="708"/>
          <w:titlePg/>
          <w:docGrid w:linePitch="360"/>
        </w:sectPr>
      </w:pPr>
    </w:p>
    <w:p w:rsidR="00D02973" w:rsidRDefault="00D02973" w:rsidP="00D02973">
      <w:pPr>
        <w:pStyle w:val="Heading2"/>
        <w:spacing w:before="120" w:after="200"/>
        <w:rPr>
          <w:rFonts w:asciiTheme="minorHAnsi" w:hAnsiTheme="minorHAnsi"/>
          <w:color w:val="auto"/>
        </w:rPr>
      </w:pPr>
      <w:bookmarkStart w:id="197" w:name="_Toc447796629"/>
      <w:bookmarkStart w:id="198" w:name="_Toc447796973"/>
      <w:bookmarkStart w:id="199" w:name="_Toc447797167"/>
      <w:bookmarkStart w:id="200" w:name="_Toc447892504"/>
      <w:bookmarkStart w:id="201" w:name="_Toc448388989"/>
      <w:bookmarkStart w:id="202" w:name="_Toc448389124"/>
      <w:bookmarkStart w:id="203" w:name="_Toc448475251"/>
      <w:r w:rsidRPr="00021EBB">
        <w:rPr>
          <w:rFonts w:asciiTheme="minorHAnsi" w:hAnsiTheme="minorHAnsi"/>
          <w:color w:val="auto"/>
        </w:rPr>
        <w:t>Appendix 5 - Condition Rating Scale</w:t>
      </w:r>
      <w:bookmarkEnd w:id="197"/>
      <w:bookmarkEnd w:id="198"/>
      <w:bookmarkEnd w:id="199"/>
      <w:bookmarkEnd w:id="200"/>
      <w:bookmarkEnd w:id="201"/>
      <w:bookmarkEnd w:id="202"/>
      <w:bookmarkEnd w:id="203"/>
    </w:p>
    <w:p w:rsidR="009D7C03" w:rsidRPr="009D7C03" w:rsidRDefault="009D7C03" w:rsidP="009D7C03"/>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
        <w:gridCol w:w="8128"/>
      </w:tblGrid>
      <w:tr w:rsidR="00D02973" w:rsidRPr="00EA2F26" w:rsidTr="00DF2FAC">
        <w:tc>
          <w:tcPr>
            <w:tcW w:w="802" w:type="dxa"/>
            <w:tcBorders>
              <w:bottom w:val="single" w:sz="4" w:space="0" w:color="auto"/>
            </w:tcBorders>
            <w:shd w:val="clear" w:color="auto" w:fill="000000" w:themeFill="text1"/>
          </w:tcPr>
          <w:p w:rsidR="00D02973" w:rsidRPr="00EA2F26" w:rsidRDefault="00D02973" w:rsidP="00DF2FAC">
            <w:pPr>
              <w:pStyle w:val="BodyText"/>
              <w:spacing w:before="80" w:after="200" w:line="276" w:lineRule="auto"/>
              <w:rPr>
                <w:rFonts w:asciiTheme="minorHAnsi" w:hAnsiTheme="minorHAnsi" w:cs="Calibri"/>
                <w:b/>
              </w:rPr>
            </w:pPr>
            <w:r w:rsidRPr="00EA2F26">
              <w:rPr>
                <w:rFonts w:asciiTheme="minorHAnsi" w:hAnsiTheme="minorHAnsi" w:cs="Calibri"/>
                <w:b/>
              </w:rPr>
              <w:t>Rating</w:t>
            </w:r>
          </w:p>
        </w:tc>
        <w:tc>
          <w:tcPr>
            <w:tcW w:w="8128" w:type="dxa"/>
            <w:shd w:val="clear" w:color="auto" w:fill="000000" w:themeFill="text1"/>
          </w:tcPr>
          <w:p w:rsidR="00D02973" w:rsidRPr="00EA2F26" w:rsidRDefault="00D02973" w:rsidP="00DF2FAC">
            <w:pPr>
              <w:pStyle w:val="BodyText"/>
              <w:spacing w:before="80" w:after="200" w:line="276" w:lineRule="auto"/>
              <w:jc w:val="center"/>
              <w:rPr>
                <w:rFonts w:asciiTheme="minorHAnsi" w:hAnsiTheme="minorHAnsi" w:cs="Calibri"/>
                <w:b/>
              </w:rPr>
            </w:pPr>
            <w:r w:rsidRPr="00EA2F26">
              <w:rPr>
                <w:rFonts w:asciiTheme="minorHAnsi" w:hAnsiTheme="minorHAnsi" w:cs="Calibri"/>
                <w:b/>
              </w:rPr>
              <w:t>Condition Rating Description</w:t>
            </w:r>
          </w:p>
        </w:tc>
      </w:tr>
      <w:tr w:rsidR="00D02973" w:rsidRPr="00EA2F26" w:rsidTr="00DF2FAC">
        <w:tc>
          <w:tcPr>
            <w:tcW w:w="802" w:type="dxa"/>
            <w:shd w:val="clear" w:color="auto" w:fill="auto"/>
            <w:vAlign w:val="center"/>
          </w:tcPr>
          <w:p w:rsidR="00D02973" w:rsidRPr="00EA2F26" w:rsidRDefault="00D02973" w:rsidP="00DF2FAC">
            <w:pPr>
              <w:jc w:val="center"/>
              <w:rPr>
                <w:rFonts w:cs="Calibri"/>
                <w:b/>
                <w:sz w:val="20"/>
                <w:szCs w:val="20"/>
              </w:rPr>
            </w:pPr>
            <w:r w:rsidRPr="00EA2F26">
              <w:rPr>
                <w:rFonts w:cs="Calibri"/>
                <w:b/>
                <w:sz w:val="20"/>
                <w:szCs w:val="20"/>
              </w:rPr>
              <w:t>0</w:t>
            </w:r>
          </w:p>
        </w:tc>
        <w:tc>
          <w:tcPr>
            <w:tcW w:w="8128" w:type="dxa"/>
            <w:shd w:val="clear" w:color="auto" w:fill="auto"/>
            <w:vAlign w:val="center"/>
          </w:tcPr>
          <w:p w:rsidR="00D02973" w:rsidRPr="00EA2F26" w:rsidRDefault="00D02973" w:rsidP="00DF2FAC">
            <w:pPr>
              <w:rPr>
                <w:rFonts w:cs="Calibri"/>
                <w:sz w:val="20"/>
                <w:szCs w:val="20"/>
              </w:rPr>
            </w:pPr>
            <w:r w:rsidRPr="00EA2F26">
              <w:rPr>
                <w:rFonts w:cs="Calibri"/>
                <w:sz w:val="20"/>
                <w:szCs w:val="20"/>
              </w:rPr>
              <w:t>A new asset or an asset recently rehabilitated back to new condition.</w:t>
            </w:r>
          </w:p>
        </w:tc>
      </w:tr>
      <w:tr w:rsidR="00D02973" w:rsidRPr="00EA2F26" w:rsidTr="00DF2FAC">
        <w:tc>
          <w:tcPr>
            <w:tcW w:w="802" w:type="dxa"/>
            <w:shd w:val="clear" w:color="auto" w:fill="auto"/>
            <w:vAlign w:val="center"/>
          </w:tcPr>
          <w:p w:rsidR="00D02973" w:rsidRPr="00EA2F26" w:rsidRDefault="00D02973" w:rsidP="00DF2FAC">
            <w:pPr>
              <w:jc w:val="center"/>
              <w:rPr>
                <w:rFonts w:cs="Calibri"/>
                <w:b/>
                <w:sz w:val="20"/>
                <w:szCs w:val="20"/>
              </w:rPr>
            </w:pPr>
            <w:r w:rsidRPr="00EA2F26">
              <w:rPr>
                <w:rFonts w:cs="Calibri"/>
                <w:b/>
                <w:sz w:val="20"/>
                <w:szCs w:val="20"/>
              </w:rPr>
              <w:t>1</w:t>
            </w:r>
          </w:p>
        </w:tc>
        <w:tc>
          <w:tcPr>
            <w:tcW w:w="8128" w:type="dxa"/>
            <w:shd w:val="clear" w:color="auto" w:fill="auto"/>
            <w:vAlign w:val="center"/>
          </w:tcPr>
          <w:p w:rsidR="00D02973" w:rsidRPr="00EA2F26" w:rsidRDefault="00D02973" w:rsidP="00DF2FAC">
            <w:pPr>
              <w:rPr>
                <w:rFonts w:cs="Calibri"/>
                <w:sz w:val="20"/>
                <w:szCs w:val="20"/>
              </w:rPr>
            </w:pPr>
            <w:r w:rsidRPr="00EA2F26">
              <w:rPr>
                <w:rFonts w:cs="Calibri"/>
                <w:sz w:val="20"/>
                <w:szCs w:val="20"/>
              </w:rPr>
              <w:t>A near new asset with no visible signs of deterioration often moved to condition 1 based upon the time since construction rather than observed condition decline.</w:t>
            </w:r>
          </w:p>
        </w:tc>
      </w:tr>
      <w:tr w:rsidR="00D02973" w:rsidRPr="00EA2F26" w:rsidTr="00DF2FAC">
        <w:tc>
          <w:tcPr>
            <w:tcW w:w="802" w:type="dxa"/>
            <w:shd w:val="clear" w:color="auto" w:fill="auto"/>
            <w:vAlign w:val="center"/>
          </w:tcPr>
          <w:p w:rsidR="00D02973" w:rsidRPr="00EA2F26" w:rsidRDefault="00D02973" w:rsidP="00DF2FAC">
            <w:pPr>
              <w:jc w:val="center"/>
              <w:rPr>
                <w:rFonts w:cs="Calibri"/>
                <w:b/>
                <w:sz w:val="20"/>
                <w:szCs w:val="20"/>
              </w:rPr>
            </w:pPr>
            <w:r w:rsidRPr="00EA2F26">
              <w:rPr>
                <w:rFonts w:cs="Calibri"/>
                <w:b/>
                <w:sz w:val="20"/>
                <w:szCs w:val="20"/>
              </w:rPr>
              <w:t>2</w:t>
            </w:r>
          </w:p>
        </w:tc>
        <w:tc>
          <w:tcPr>
            <w:tcW w:w="8128" w:type="dxa"/>
            <w:shd w:val="clear" w:color="auto" w:fill="auto"/>
            <w:vAlign w:val="center"/>
          </w:tcPr>
          <w:p w:rsidR="00D02973" w:rsidRPr="00EA2F26" w:rsidRDefault="00D02973" w:rsidP="00DF2FAC">
            <w:pPr>
              <w:rPr>
                <w:rFonts w:cs="Calibri"/>
                <w:sz w:val="20"/>
                <w:szCs w:val="20"/>
              </w:rPr>
            </w:pPr>
            <w:r w:rsidRPr="00EA2F26">
              <w:rPr>
                <w:rFonts w:cs="Calibri"/>
                <w:sz w:val="20"/>
                <w:szCs w:val="20"/>
              </w:rPr>
              <w:t>An asset in excellent overall condition.  There would be only very slight condition decline but it would be obvious that the asset was no longer in new condition.</w:t>
            </w:r>
          </w:p>
        </w:tc>
      </w:tr>
      <w:tr w:rsidR="00D02973" w:rsidRPr="00EA2F26" w:rsidTr="00DF2FAC">
        <w:tc>
          <w:tcPr>
            <w:tcW w:w="802" w:type="dxa"/>
            <w:shd w:val="clear" w:color="auto" w:fill="auto"/>
            <w:vAlign w:val="center"/>
          </w:tcPr>
          <w:p w:rsidR="00D02973" w:rsidRPr="00EA2F26" w:rsidRDefault="00D02973" w:rsidP="00DF2FAC">
            <w:pPr>
              <w:jc w:val="center"/>
              <w:rPr>
                <w:rFonts w:cs="Calibri"/>
                <w:b/>
                <w:sz w:val="20"/>
                <w:szCs w:val="20"/>
              </w:rPr>
            </w:pPr>
            <w:r w:rsidRPr="00EA2F26">
              <w:rPr>
                <w:rFonts w:cs="Calibri"/>
                <w:b/>
                <w:sz w:val="20"/>
                <w:szCs w:val="20"/>
              </w:rPr>
              <w:t>3</w:t>
            </w:r>
          </w:p>
        </w:tc>
        <w:tc>
          <w:tcPr>
            <w:tcW w:w="8128" w:type="dxa"/>
            <w:shd w:val="clear" w:color="auto" w:fill="auto"/>
            <w:vAlign w:val="center"/>
          </w:tcPr>
          <w:p w:rsidR="00D02973" w:rsidRPr="00EA2F26" w:rsidRDefault="00D02973" w:rsidP="00DF2FAC">
            <w:pPr>
              <w:rPr>
                <w:rFonts w:cs="Calibri"/>
                <w:sz w:val="20"/>
                <w:szCs w:val="20"/>
              </w:rPr>
            </w:pPr>
            <w:r w:rsidRPr="00EA2F26">
              <w:rPr>
                <w:rFonts w:cs="Calibri"/>
                <w:sz w:val="20"/>
                <w:szCs w:val="20"/>
              </w:rPr>
              <w:t>An asset in very good overall condition but with some early stages of deterioration evident, but the deterioration still minor in nature and causing no serviceability problems.</w:t>
            </w:r>
          </w:p>
        </w:tc>
      </w:tr>
      <w:tr w:rsidR="00D02973" w:rsidRPr="00EA2F26" w:rsidTr="00DF2FAC">
        <w:tc>
          <w:tcPr>
            <w:tcW w:w="802" w:type="dxa"/>
            <w:shd w:val="clear" w:color="auto" w:fill="auto"/>
            <w:vAlign w:val="center"/>
          </w:tcPr>
          <w:p w:rsidR="00D02973" w:rsidRPr="00EA2F26" w:rsidRDefault="00D02973" w:rsidP="00DF2FAC">
            <w:pPr>
              <w:jc w:val="center"/>
              <w:rPr>
                <w:rFonts w:cs="Calibri"/>
                <w:b/>
                <w:sz w:val="20"/>
                <w:szCs w:val="20"/>
              </w:rPr>
            </w:pPr>
            <w:r w:rsidRPr="00EA2F26">
              <w:rPr>
                <w:rFonts w:cs="Calibri"/>
                <w:b/>
                <w:sz w:val="20"/>
                <w:szCs w:val="20"/>
              </w:rPr>
              <w:t>4</w:t>
            </w:r>
          </w:p>
        </w:tc>
        <w:tc>
          <w:tcPr>
            <w:tcW w:w="8128" w:type="dxa"/>
            <w:shd w:val="clear" w:color="auto" w:fill="auto"/>
            <w:vAlign w:val="center"/>
          </w:tcPr>
          <w:p w:rsidR="00D02973" w:rsidRPr="00EA2F26" w:rsidRDefault="00D02973" w:rsidP="00DF2FAC">
            <w:pPr>
              <w:rPr>
                <w:rFonts w:cs="Calibri"/>
                <w:sz w:val="20"/>
                <w:szCs w:val="20"/>
              </w:rPr>
            </w:pPr>
            <w:r w:rsidRPr="00EA2F26">
              <w:rPr>
                <w:rFonts w:cs="Calibri"/>
                <w:sz w:val="20"/>
                <w:szCs w:val="20"/>
              </w:rPr>
              <w:t>An asset in good overall condition but with some obvious deterioration evident, serviceability would be impaired very slightly.</w:t>
            </w:r>
          </w:p>
        </w:tc>
      </w:tr>
      <w:tr w:rsidR="00D02973" w:rsidRPr="00EA2F26" w:rsidTr="00DF2FAC">
        <w:tc>
          <w:tcPr>
            <w:tcW w:w="802" w:type="dxa"/>
            <w:shd w:val="clear" w:color="auto" w:fill="auto"/>
            <w:vAlign w:val="center"/>
          </w:tcPr>
          <w:p w:rsidR="00D02973" w:rsidRPr="00EA2F26" w:rsidRDefault="00D02973" w:rsidP="00DF2FAC">
            <w:pPr>
              <w:jc w:val="center"/>
              <w:rPr>
                <w:rFonts w:cs="Calibri"/>
                <w:b/>
                <w:sz w:val="20"/>
                <w:szCs w:val="20"/>
              </w:rPr>
            </w:pPr>
            <w:r w:rsidRPr="00EA2F26">
              <w:rPr>
                <w:rFonts w:cs="Calibri"/>
                <w:b/>
                <w:sz w:val="20"/>
                <w:szCs w:val="20"/>
              </w:rPr>
              <w:t>5</w:t>
            </w:r>
          </w:p>
        </w:tc>
        <w:tc>
          <w:tcPr>
            <w:tcW w:w="8128" w:type="dxa"/>
            <w:shd w:val="clear" w:color="auto" w:fill="auto"/>
            <w:vAlign w:val="center"/>
          </w:tcPr>
          <w:p w:rsidR="00D02973" w:rsidRPr="00EA2F26" w:rsidRDefault="00D02973" w:rsidP="00DF2FAC">
            <w:pPr>
              <w:rPr>
                <w:rFonts w:cs="Calibri"/>
                <w:sz w:val="20"/>
                <w:szCs w:val="20"/>
              </w:rPr>
            </w:pPr>
            <w:r w:rsidRPr="00EA2F26">
              <w:rPr>
                <w:rFonts w:cs="Calibri"/>
                <w:sz w:val="20"/>
                <w:szCs w:val="20"/>
              </w:rPr>
              <w:t>An asset in fair overall condition deterioration in condition would be obvious and there would be some serviceability loss.</w:t>
            </w:r>
          </w:p>
        </w:tc>
      </w:tr>
      <w:tr w:rsidR="00D02973" w:rsidRPr="00EA2F26" w:rsidTr="00DF2FAC">
        <w:tc>
          <w:tcPr>
            <w:tcW w:w="802" w:type="dxa"/>
            <w:shd w:val="clear" w:color="auto" w:fill="auto"/>
            <w:vAlign w:val="center"/>
          </w:tcPr>
          <w:p w:rsidR="00D02973" w:rsidRPr="00EA2F26" w:rsidRDefault="00D02973" w:rsidP="00DF2FAC">
            <w:pPr>
              <w:jc w:val="center"/>
              <w:rPr>
                <w:rFonts w:cs="Calibri"/>
                <w:b/>
                <w:sz w:val="20"/>
                <w:szCs w:val="20"/>
              </w:rPr>
            </w:pPr>
            <w:r w:rsidRPr="00EA2F26">
              <w:rPr>
                <w:rFonts w:cs="Calibri"/>
                <w:b/>
                <w:sz w:val="20"/>
                <w:szCs w:val="20"/>
              </w:rPr>
              <w:t>6</w:t>
            </w:r>
          </w:p>
        </w:tc>
        <w:tc>
          <w:tcPr>
            <w:tcW w:w="8128" w:type="dxa"/>
            <w:shd w:val="clear" w:color="auto" w:fill="auto"/>
            <w:vAlign w:val="center"/>
          </w:tcPr>
          <w:p w:rsidR="00D02973" w:rsidRPr="00EA2F26" w:rsidRDefault="00D02973" w:rsidP="00DF2FAC">
            <w:pPr>
              <w:rPr>
                <w:rFonts w:cs="Calibri"/>
                <w:sz w:val="20"/>
                <w:szCs w:val="20"/>
              </w:rPr>
            </w:pPr>
            <w:r w:rsidRPr="00EA2F26">
              <w:rPr>
                <w:rFonts w:cs="Calibri"/>
                <w:sz w:val="20"/>
                <w:szCs w:val="20"/>
              </w:rPr>
              <w:t>An asset in Fair to poor overall condition.  The condition deterioration would be quite obvious. Asset serviceability would now be affected and maintenance cost would be rising.</w:t>
            </w:r>
          </w:p>
        </w:tc>
      </w:tr>
      <w:tr w:rsidR="00D02973" w:rsidRPr="00EA2F26" w:rsidTr="00DF2FAC">
        <w:tc>
          <w:tcPr>
            <w:tcW w:w="802" w:type="dxa"/>
            <w:shd w:val="clear" w:color="auto" w:fill="auto"/>
            <w:vAlign w:val="center"/>
          </w:tcPr>
          <w:p w:rsidR="00D02973" w:rsidRPr="00EA2F26" w:rsidRDefault="00D02973" w:rsidP="00DF2FAC">
            <w:pPr>
              <w:jc w:val="center"/>
              <w:rPr>
                <w:rFonts w:cs="Calibri"/>
                <w:b/>
                <w:sz w:val="20"/>
                <w:szCs w:val="20"/>
              </w:rPr>
            </w:pPr>
            <w:r w:rsidRPr="00EA2F26">
              <w:rPr>
                <w:rFonts w:cs="Calibri"/>
                <w:b/>
                <w:sz w:val="20"/>
                <w:szCs w:val="20"/>
              </w:rPr>
              <w:t>7</w:t>
            </w:r>
          </w:p>
        </w:tc>
        <w:tc>
          <w:tcPr>
            <w:tcW w:w="8128" w:type="dxa"/>
            <w:shd w:val="clear" w:color="auto" w:fill="auto"/>
            <w:vAlign w:val="center"/>
          </w:tcPr>
          <w:p w:rsidR="00D02973" w:rsidRPr="00EA2F26" w:rsidRDefault="00D02973" w:rsidP="00DF2FAC">
            <w:pPr>
              <w:rPr>
                <w:rFonts w:cs="Calibri"/>
                <w:sz w:val="20"/>
                <w:szCs w:val="20"/>
              </w:rPr>
            </w:pPr>
            <w:r w:rsidRPr="00EA2F26">
              <w:rPr>
                <w:rFonts w:cs="Calibri"/>
                <w:sz w:val="20"/>
                <w:szCs w:val="20"/>
              </w:rPr>
              <w:t>An asset in poor overall condition deterioration would be quite severe and would be starting to limit the serviceability of the asset.  Maintenance cost would be high</w:t>
            </w:r>
          </w:p>
        </w:tc>
      </w:tr>
      <w:tr w:rsidR="00D02973" w:rsidRPr="00EA2F26" w:rsidTr="00DF2FAC">
        <w:tc>
          <w:tcPr>
            <w:tcW w:w="802" w:type="dxa"/>
            <w:shd w:val="clear" w:color="auto" w:fill="auto"/>
            <w:vAlign w:val="center"/>
          </w:tcPr>
          <w:p w:rsidR="00D02973" w:rsidRPr="00EA2F26" w:rsidRDefault="00D02973" w:rsidP="00DF2FAC">
            <w:pPr>
              <w:jc w:val="center"/>
              <w:rPr>
                <w:rFonts w:cs="Calibri"/>
                <w:b/>
                <w:sz w:val="20"/>
                <w:szCs w:val="20"/>
              </w:rPr>
            </w:pPr>
            <w:r w:rsidRPr="00EA2F26">
              <w:rPr>
                <w:rFonts w:cs="Calibri"/>
                <w:b/>
                <w:sz w:val="20"/>
                <w:szCs w:val="20"/>
              </w:rPr>
              <w:t>8</w:t>
            </w:r>
          </w:p>
        </w:tc>
        <w:tc>
          <w:tcPr>
            <w:tcW w:w="8128" w:type="dxa"/>
            <w:shd w:val="clear" w:color="auto" w:fill="auto"/>
            <w:vAlign w:val="center"/>
          </w:tcPr>
          <w:p w:rsidR="00D02973" w:rsidRPr="00EA2F26" w:rsidRDefault="00D02973" w:rsidP="00DF2FAC">
            <w:pPr>
              <w:rPr>
                <w:rFonts w:cs="Calibri"/>
                <w:sz w:val="20"/>
                <w:szCs w:val="20"/>
              </w:rPr>
            </w:pPr>
            <w:r w:rsidRPr="00EA2F26">
              <w:rPr>
                <w:rFonts w:cs="Calibri"/>
                <w:sz w:val="20"/>
                <w:szCs w:val="20"/>
              </w:rPr>
              <w:t>An asset in very poor overall condition with serviceability now being heavily impacted upon by the poor condition.  Maintenance cost would be very high and the asset would at a point where it needed to be rehabilitated.</w:t>
            </w:r>
          </w:p>
        </w:tc>
      </w:tr>
      <w:tr w:rsidR="00D02973" w:rsidRPr="00EA2F26" w:rsidTr="00DF2FAC">
        <w:tc>
          <w:tcPr>
            <w:tcW w:w="802" w:type="dxa"/>
            <w:shd w:val="clear" w:color="auto" w:fill="auto"/>
            <w:vAlign w:val="center"/>
          </w:tcPr>
          <w:p w:rsidR="00D02973" w:rsidRPr="00EA2F26" w:rsidRDefault="00D02973" w:rsidP="00DF2FAC">
            <w:pPr>
              <w:jc w:val="center"/>
              <w:rPr>
                <w:rFonts w:cs="Calibri"/>
                <w:b/>
                <w:sz w:val="20"/>
                <w:szCs w:val="20"/>
              </w:rPr>
            </w:pPr>
            <w:r w:rsidRPr="00EA2F26">
              <w:rPr>
                <w:rFonts w:cs="Calibri"/>
                <w:b/>
                <w:sz w:val="20"/>
                <w:szCs w:val="20"/>
              </w:rPr>
              <w:t>9</w:t>
            </w:r>
          </w:p>
        </w:tc>
        <w:tc>
          <w:tcPr>
            <w:tcW w:w="8128" w:type="dxa"/>
            <w:shd w:val="clear" w:color="auto" w:fill="auto"/>
            <w:vAlign w:val="center"/>
          </w:tcPr>
          <w:p w:rsidR="00D02973" w:rsidRPr="00EA2F26" w:rsidRDefault="00D02973" w:rsidP="00DF2FAC">
            <w:pPr>
              <w:rPr>
                <w:rFonts w:cs="Calibri"/>
                <w:sz w:val="20"/>
                <w:szCs w:val="20"/>
              </w:rPr>
            </w:pPr>
            <w:r w:rsidRPr="00EA2F26">
              <w:rPr>
                <w:rFonts w:cs="Calibri"/>
                <w:sz w:val="20"/>
                <w:szCs w:val="20"/>
              </w:rPr>
              <w:t>An asset in extremely poor condition with severe serviceability problems and needing rehabilitation immediately.  Could also be a risk to remain in service</w:t>
            </w:r>
          </w:p>
        </w:tc>
      </w:tr>
      <w:tr w:rsidR="00D02973" w:rsidRPr="00EA2F26" w:rsidTr="00DF2FAC">
        <w:tc>
          <w:tcPr>
            <w:tcW w:w="802" w:type="dxa"/>
            <w:shd w:val="clear" w:color="auto" w:fill="auto"/>
            <w:vAlign w:val="center"/>
          </w:tcPr>
          <w:p w:rsidR="00D02973" w:rsidRPr="00EA2F26" w:rsidRDefault="00D02973" w:rsidP="00DF2FAC">
            <w:pPr>
              <w:jc w:val="center"/>
              <w:rPr>
                <w:rFonts w:cs="Calibri"/>
                <w:b/>
                <w:sz w:val="20"/>
                <w:szCs w:val="20"/>
              </w:rPr>
            </w:pPr>
            <w:r w:rsidRPr="00EA2F26">
              <w:rPr>
                <w:rFonts w:cs="Calibri"/>
                <w:b/>
                <w:sz w:val="20"/>
                <w:szCs w:val="20"/>
              </w:rPr>
              <w:t>10</w:t>
            </w:r>
          </w:p>
        </w:tc>
        <w:tc>
          <w:tcPr>
            <w:tcW w:w="8128" w:type="dxa"/>
            <w:shd w:val="clear" w:color="auto" w:fill="auto"/>
            <w:vAlign w:val="center"/>
          </w:tcPr>
          <w:p w:rsidR="00D02973" w:rsidRPr="00EA2F26" w:rsidRDefault="00D02973" w:rsidP="00DF2FAC">
            <w:pPr>
              <w:rPr>
                <w:rFonts w:cs="Calibri"/>
                <w:sz w:val="20"/>
                <w:szCs w:val="20"/>
              </w:rPr>
            </w:pPr>
            <w:r w:rsidRPr="00EA2F26">
              <w:rPr>
                <w:rFonts w:cs="Calibri"/>
                <w:sz w:val="20"/>
                <w:szCs w:val="20"/>
              </w:rPr>
              <w:t>An asset that has failed is no longer serviceable and should not remain in service.  There would be an extreme risk in leaving the asset in service.</w:t>
            </w:r>
          </w:p>
        </w:tc>
      </w:tr>
    </w:tbl>
    <w:p w:rsidR="00D02973" w:rsidRPr="00EA2F26" w:rsidRDefault="00D02973" w:rsidP="00D02973">
      <w:pPr>
        <w:pStyle w:val="Heading1"/>
        <w:ind w:left="270"/>
        <w:rPr>
          <w:rFonts w:asciiTheme="minorHAnsi" w:hAnsiTheme="minorHAnsi"/>
          <w:color w:val="auto"/>
        </w:rPr>
      </w:pPr>
      <w:bookmarkStart w:id="204" w:name="_Toc446068470"/>
    </w:p>
    <w:p w:rsidR="00D02973" w:rsidRPr="00EA2F26" w:rsidRDefault="00D02973" w:rsidP="00D02973">
      <w:pPr>
        <w:pStyle w:val="Heading1"/>
        <w:ind w:left="270"/>
        <w:rPr>
          <w:rFonts w:asciiTheme="minorHAnsi" w:hAnsiTheme="minorHAnsi"/>
          <w:color w:val="auto"/>
        </w:rPr>
        <w:sectPr w:rsidR="00D02973" w:rsidRPr="00EA2F26" w:rsidSect="00DB539A">
          <w:headerReference w:type="first" r:id="rId44"/>
          <w:footerReference w:type="first" r:id="rId45"/>
          <w:pgSz w:w="11907" w:h="16839" w:code="9"/>
          <w:pgMar w:top="1440" w:right="1440" w:bottom="1985" w:left="1440" w:header="708" w:footer="283" w:gutter="0"/>
          <w:cols w:space="708"/>
          <w:titlePg/>
          <w:docGrid w:linePitch="360"/>
        </w:sectPr>
      </w:pPr>
    </w:p>
    <w:p w:rsidR="00D02973" w:rsidRPr="00021EBB" w:rsidRDefault="00D02973" w:rsidP="00021EBB">
      <w:pPr>
        <w:pStyle w:val="Heading2"/>
        <w:spacing w:before="120" w:after="200"/>
        <w:ind w:left="142"/>
        <w:rPr>
          <w:rFonts w:asciiTheme="minorHAnsi" w:hAnsiTheme="minorHAnsi"/>
          <w:color w:val="auto"/>
        </w:rPr>
      </w:pPr>
      <w:bookmarkStart w:id="205" w:name="_Toc447796630"/>
      <w:bookmarkStart w:id="206" w:name="_Toc447796974"/>
      <w:bookmarkStart w:id="207" w:name="_Toc447797168"/>
      <w:bookmarkStart w:id="208" w:name="_Toc447892505"/>
      <w:bookmarkStart w:id="209" w:name="_Toc448388990"/>
      <w:bookmarkStart w:id="210" w:name="_Toc448389125"/>
      <w:bookmarkStart w:id="211" w:name="_Toc448475252"/>
      <w:r w:rsidRPr="00021EBB">
        <w:rPr>
          <w:rFonts w:asciiTheme="minorHAnsi" w:hAnsiTheme="minorHAnsi"/>
          <w:color w:val="auto"/>
        </w:rPr>
        <w:t>Appendix 6 – Key Assumptions in Moloney Modelling Expenditure Forecasts</w:t>
      </w:r>
      <w:bookmarkEnd w:id="204"/>
      <w:bookmarkEnd w:id="205"/>
      <w:bookmarkEnd w:id="206"/>
      <w:bookmarkEnd w:id="207"/>
      <w:bookmarkEnd w:id="208"/>
      <w:bookmarkEnd w:id="209"/>
      <w:bookmarkEnd w:id="210"/>
      <w:bookmarkEnd w:id="211"/>
    </w:p>
    <w:p w:rsidR="00021EBB" w:rsidRDefault="00021EBB" w:rsidP="00D02973">
      <w:pPr>
        <w:pStyle w:val="Style7"/>
        <w:adjustRightInd/>
        <w:spacing w:after="60"/>
        <w:ind w:left="270"/>
        <w:jc w:val="both"/>
        <w:rPr>
          <w:rFonts w:asciiTheme="minorHAnsi" w:eastAsiaTheme="minorHAnsi" w:hAnsiTheme="minorHAnsi" w:cstheme="minorBidi"/>
          <w:sz w:val="22"/>
          <w:szCs w:val="22"/>
          <w:lang w:val="en-AU" w:eastAsia="en-US"/>
        </w:rPr>
      </w:pPr>
    </w:p>
    <w:p w:rsidR="00D02973" w:rsidRPr="00EA2F26" w:rsidRDefault="00D02973" w:rsidP="00D02973">
      <w:pPr>
        <w:pStyle w:val="Style7"/>
        <w:adjustRightInd/>
        <w:spacing w:after="60"/>
        <w:ind w:left="270"/>
        <w:jc w:val="both"/>
        <w:rPr>
          <w:rFonts w:asciiTheme="minorHAnsi" w:eastAsiaTheme="minorHAnsi" w:hAnsiTheme="minorHAnsi" w:cstheme="minorBidi"/>
          <w:sz w:val="22"/>
          <w:szCs w:val="22"/>
          <w:lang w:val="en-AU" w:eastAsia="en-US"/>
        </w:rPr>
      </w:pPr>
      <w:r w:rsidRPr="00EA2F26">
        <w:rPr>
          <w:rFonts w:asciiTheme="minorHAnsi" w:eastAsiaTheme="minorHAnsi" w:hAnsiTheme="minorHAnsi" w:cstheme="minorBidi"/>
          <w:sz w:val="22"/>
          <w:szCs w:val="22"/>
          <w:lang w:val="en-AU" w:eastAsia="en-US"/>
        </w:rPr>
        <w:t xml:space="preserve">Section 10.3 of </w:t>
      </w:r>
      <w:r>
        <w:rPr>
          <w:rFonts w:asciiTheme="minorHAnsi" w:eastAsiaTheme="minorHAnsi" w:hAnsiTheme="minorHAnsi" w:cstheme="minorBidi"/>
          <w:sz w:val="22"/>
          <w:szCs w:val="22"/>
          <w:lang w:val="en-AU" w:eastAsia="en-US"/>
        </w:rPr>
        <w:t>Council</w:t>
      </w:r>
      <w:r w:rsidRPr="00EA2F26">
        <w:rPr>
          <w:rFonts w:asciiTheme="minorHAnsi" w:eastAsiaTheme="minorHAnsi" w:hAnsiTheme="minorHAnsi" w:cstheme="minorBidi"/>
          <w:sz w:val="22"/>
          <w:szCs w:val="22"/>
          <w:lang w:val="en-AU" w:eastAsia="en-US"/>
        </w:rPr>
        <w:t xml:space="preserve">’s </w:t>
      </w:r>
      <w:r>
        <w:rPr>
          <w:rFonts w:asciiTheme="minorHAnsi" w:eastAsiaTheme="minorHAnsi" w:hAnsiTheme="minorHAnsi" w:cstheme="minorBidi"/>
          <w:sz w:val="22"/>
          <w:szCs w:val="22"/>
          <w:lang w:val="en-AU" w:eastAsia="en-US"/>
        </w:rPr>
        <w:t xml:space="preserve">Long Term Financial Plan 2016/17 – 2025/26 </w:t>
      </w:r>
      <w:r w:rsidRPr="00EA2F26">
        <w:rPr>
          <w:rFonts w:asciiTheme="minorHAnsi" w:eastAsiaTheme="minorHAnsi" w:hAnsiTheme="minorHAnsi" w:cstheme="minorBidi"/>
          <w:sz w:val="22"/>
          <w:szCs w:val="22"/>
          <w:lang w:val="en-AU" w:eastAsia="en-US"/>
        </w:rPr>
        <w:t xml:space="preserve">sets out the major financial assumptions applicable to the financial options considered by </w:t>
      </w:r>
      <w:r>
        <w:rPr>
          <w:rFonts w:asciiTheme="minorHAnsi" w:eastAsiaTheme="minorHAnsi" w:hAnsiTheme="minorHAnsi" w:cstheme="minorBidi"/>
          <w:sz w:val="22"/>
          <w:szCs w:val="22"/>
          <w:lang w:val="en-AU" w:eastAsia="en-US"/>
        </w:rPr>
        <w:t>Council</w:t>
      </w:r>
      <w:r w:rsidRPr="00EA2F26">
        <w:rPr>
          <w:rFonts w:asciiTheme="minorHAnsi" w:eastAsiaTheme="minorHAnsi" w:hAnsiTheme="minorHAnsi" w:cstheme="minorBidi"/>
          <w:sz w:val="22"/>
          <w:szCs w:val="22"/>
          <w:lang w:val="en-AU" w:eastAsia="en-US"/>
        </w:rPr>
        <w:t xml:space="preserve"> prior to community input.</w:t>
      </w:r>
    </w:p>
    <w:p w:rsidR="00D02973" w:rsidRPr="00EA2F26" w:rsidRDefault="00D02973" w:rsidP="00D02973">
      <w:pPr>
        <w:pStyle w:val="Style7"/>
        <w:adjustRightInd/>
        <w:spacing w:after="120"/>
        <w:ind w:left="270"/>
        <w:jc w:val="both"/>
        <w:rPr>
          <w:rFonts w:asciiTheme="minorHAnsi" w:eastAsiaTheme="minorHAnsi" w:hAnsiTheme="minorHAnsi" w:cstheme="minorBidi"/>
          <w:sz w:val="22"/>
          <w:szCs w:val="22"/>
          <w:lang w:val="en-AU" w:eastAsia="en-US"/>
        </w:rPr>
      </w:pPr>
      <w:r w:rsidRPr="00EA2F26">
        <w:rPr>
          <w:rFonts w:asciiTheme="minorHAnsi" w:eastAsiaTheme="minorHAnsi" w:hAnsiTheme="minorHAnsi" w:cstheme="minorBidi"/>
          <w:sz w:val="22"/>
          <w:szCs w:val="22"/>
          <w:lang w:val="en-AU" w:eastAsia="en-US"/>
        </w:rPr>
        <w:t>The following are general assumptions relating to the asset group that have been made in preparing the group’s 10-year expenditure forecasts:</w:t>
      </w:r>
    </w:p>
    <w:p w:rsidR="00D02973" w:rsidRPr="00EA2F26" w:rsidRDefault="00D02973" w:rsidP="00D02973">
      <w:pPr>
        <w:pStyle w:val="Style30"/>
        <w:numPr>
          <w:ilvl w:val="0"/>
          <w:numId w:val="44"/>
        </w:numPr>
        <w:tabs>
          <w:tab w:val="left" w:pos="756"/>
        </w:tabs>
        <w:spacing w:after="120"/>
        <w:jc w:val="both"/>
        <w:rPr>
          <w:rFonts w:asciiTheme="minorHAnsi" w:hAnsiTheme="minorHAnsi" w:cs="Calibri"/>
          <w:spacing w:val="-4"/>
          <w:sz w:val="22"/>
          <w:szCs w:val="22"/>
          <w:lang w:val="en-AU"/>
        </w:rPr>
      </w:pPr>
      <w:r w:rsidRPr="00EA2F26">
        <w:rPr>
          <w:rFonts w:asciiTheme="minorHAnsi" w:hAnsiTheme="minorHAnsi" w:cs="Calibri"/>
          <w:spacing w:val="-4"/>
          <w:sz w:val="22"/>
          <w:szCs w:val="22"/>
          <w:lang w:val="en-AU"/>
        </w:rPr>
        <w:t xml:space="preserve">Recreation and open space assets will remain in </w:t>
      </w:r>
      <w:r>
        <w:rPr>
          <w:rFonts w:asciiTheme="minorHAnsi" w:hAnsiTheme="minorHAnsi" w:cs="Calibri"/>
          <w:spacing w:val="-4"/>
          <w:sz w:val="22"/>
          <w:szCs w:val="22"/>
          <w:lang w:val="en-AU"/>
        </w:rPr>
        <w:t>Council</w:t>
      </w:r>
      <w:r w:rsidRPr="00EA2F26">
        <w:rPr>
          <w:rFonts w:asciiTheme="minorHAnsi" w:hAnsiTheme="minorHAnsi" w:cs="Calibri"/>
          <w:spacing w:val="-4"/>
          <w:sz w:val="22"/>
          <w:szCs w:val="22"/>
          <w:lang w:val="en-AU"/>
        </w:rPr>
        <w:t xml:space="preserve"> ownership throughout the planning period.</w:t>
      </w:r>
    </w:p>
    <w:p w:rsidR="00D02973" w:rsidRPr="00EA2F26" w:rsidRDefault="00D02973" w:rsidP="00D02973">
      <w:pPr>
        <w:numPr>
          <w:ilvl w:val="0"/>
          <w:numId w:val="44"/>
        </w:numPr>
        <w:tabs>
          <w:tab w:val="left" w:pos="1540"/>
        </w:tabs>
        <w:spacing w:after="120" w:line="240" w:lineRule="auto"/>
        <w:jc w:val="both"/>
        <w:rPr>
          <w:rFonts w:cs="Calibri"/>
        </w:rPr>
      </w:pPr>
      <w:r w:rsidRPr="00EA2F26">
        <w:rPr>
          <w:rFonts w:cs="Calibri"/>
        </w:rPr>
        <w:t>There no allowance for CPI as the continuing revaluation and condition inspection process will make adjustments for current rates.</w:t>
      </w:r>
    </w:p>
    <w:p w:rsidR="00D02973" w:rsidRPr="00EA2F26" w:rsidRDefault="00D02973" w:rsidP="00D02973">
      <w:pPr>
        <w:pStyle w:val="Style30"/>
        <w:numPr>
          <w:ilvl w:val="0"/>
          <w:numId w:val="44"/>
        </w:numPr>
        <w:tabs>
          <w:tab w:val="left" w:pos="1540"/>
        </w:tabs>
        <w:spacing w:after="120"/>
        <w:jc w:val="both"/>
        <w:rPr>
          <w:rFonts w:asciiTheme="minorHAnsi" w:hAnsiTheme="minorHAnsi" w:cs="Calibri"/>
          <w:spacing w:val="-4"/>
          <w:sz w:val="22"/>
          <w:szCs w:val="22"/>
          <w:lang w:val="en-AU"/>
        </w:rPr>
      </w:pPr>
      <w:r w:rsidRPr="00EA2F26">
        <w:rPr>
          <w:rFonts w:asciiTheme="minorHAnsi" w:hAnsiTheme="minorHAnsi" w:cs="Calibri"/>
          <w:spacing w:val="-4"/>
          <w:sz w:val="22"/>
          <w:szCs w:val="22"/>
          <w:lang w:val="en-AU"/>
        </w:rPr>
        <w:t>All expenditure is stated in current dollar values with no allowance made for inflation or other escalations over this period.</w:t>
      </w:r>
    </w:p>
    <w:p w:rsidR="00D02973" w:rsidRPr="00EA2F26" w:rsidRDefault="00D02973" w:rsidP="00D02973">
      <w:pPr>
        <w:numPr>
          <w:ilvl w:val="0"/>
          <w:numId w:val="44"/>
        </w:numPr>
        <w:tabs>
          <w:tab w:val="left" w:pos="1540"/>
        </w:tabs>
        <w:spacing w:after="120" w:line="240" w:lineRule="auto"/>
        <w:jc w:val="both"/>
        <w:rPr>
          <w:rFonts w:cs="Calibri"/>
        </w:rPr>
      </w:pPr>
      <w:r w:rsidRPr="00EA2F26">
        <w:rPr>
          <w:rFonts w:cs="Calibri"/>
        </w:rPr>
        <w:t xml:space="preserve">Capital renewal program has funding allocated as set out in </w:t>
      </w:r>
      <w:r>
        <w:rPr>
          <w:rFonts w:cs="Calibri"/>
        </w:rPr>
        <w:t>Council</w:t>
      </w:r>
      <w:r w:rsidRPr="00EA2F26">
        <w:rPr>
          <w:rFonts w:cs="Calibri"/>
        </w:rPr>
        <w:t>’s Long Term Financial Plan (LTFP).</w:t>
      </w:r>
    </w:p>
    <w:p w:rsidR="00D02973" w:rsidRPr="00EA2F26" w:rsidRDefault="00D02973" w:rsidP="00D02973">
      <w:pPr>
        <w:numPr>
          <w:ilvl w:val="0"/>
          <w:numId w:val="44"/>
        </w:numPr>
        <w:tabs>
          <w:tab w:val="left" w:pos="1540"/>
        </w:tabs>
        <w:spacing w:after="120" w:line="240" w:lineRule="auto"/>
        <w:jc w:val="both"/>
        <w:rPr>
          <w:rFonts w:cs="Calibri"/>
        </w:rPr>
      </w:pPr>
      <w:r w:rsidRPr="00EA2F26">
        <w:rPr>
          <w:rFonts w:cs="Calibri"/>
        </w:rPr>
        <w:t>The basis for renewals is the Moloney Renewal Financial Model which is used for the LTFP for all asset groups.</w:t>
      </w:r>
    </w:p>
    <w:p w:rsidR="00D02973" w:rsidRPr="00EA2F26" w:rsidRDefault="00D02973" w:rsidP="00D02973">
      <w:pPr>
        <w:pStyle w:val="ListParagraph"/>
        <w:widowControl w:val="0"/>
        <w:numPr>
          <w:ilvl w:val="0"/>
          <w:numId w:val="44"/>
        </w:numPr>
        <w:tabs>
          <w:tab w:val="left" w:pos="1540"/>
        </w:tabs>
        <w:autoSpaceDE w:val="0"/>
        <w:autoSpaceDN w:val="0"/>
        <w:spacing w:after="120" w:line="240" w:lineRule="auto"/>
        <w:contextualSpacing w:val="0"/>
        <w:jc w:val="both"/>
        <w:rPr>
          <w:rFonts w:cs="Calibri"/>
          <w:spacing w:val="-2"/>
        </w:rPr>
      </w:pPr>
      <w:r w:rsidRPr="00EA2F26">
        <w:rPr>
          <w:rFonts w:cs="Calibri"/>
          <w:spacing w:val="-4"/>
        </w:rPr>
        <w:t xml:space="preserve">Maintenance costs are based largely on historical industry expenditure and assume there </w:t>
      </w:r>
      <w:r w:rsidRPr="00EA2F26">
        <w:rPr>
          <w:rFonts w:cs="Calibri"/>
          <w:spacing w:val="-2"/>
        </w:rPr>
        <w:t>is no significant change in contract rates (above the rate of inflation).</w:t>
      </w:r>
    </w:p>
    <w:p w:rsidR="00D02973" w:rsidRPr="00EA2F26" w:rsidRDefault="00D02973" w:rsidP="00D02973">
      <w:pPr>
        <w:numPr>
          <w:ilvl w:val="0"/>
          <w:numId w:val="44"/>
        </w:numPr>
        <w:tabs>
          <w:tab w:val="left" w:pos="1540"/>
        </w:tabs>
        <w:spacing w:after="120" w:line="240" w:lineRule="auto"/>
        <w:jc w:val="both"/>
        <w:rPr>
          <w:rFonts w:cs="Calibri"/>
        </w:rPr>
      </w:pPr>
      <w:r w:rsidRPr="00EA2F26">
        <w:rPr>
          <w:rFonts w:cs="Calibri"/>
        </w:rPr>
        <w:t>The condition and size of the n</w:t>
      </w:r>
      <w:r>
        <w:rPr>
          <w:rFonts w:cs="Calibri"/>
        </w:rPr>
        <w:t>etwork as stated at 30 June 2015</w:t>
      </w:r>
    </w:p>
    <w:p w:rsidR="00D02973" w:rsidRPr="00EA2F26" w:rsidRDefault="00D02973" w:rsidP="00D02973">
      <w:pPr>
        <w:numPr>
          <w:ilvl w:val="0"/>
          <w:numId w:val="44"/>
        </w:numPr>
        <w:tabs>
          <w:tab w:val="left" w:pos="1540"/>
        </w:tabs>
        <w:spacing w:after="120" w:line="240" w:lineRule="auto"/>
        <w:jc w:val="both"/>
        <w:rPr>
          <w:rFonts w:cs="Calibri"/>
        </w:rPr>
      </w:pPr>
      <w:r w:rsidRPr="00EA2F26">
        <w:rPr>
          <w:rFonts w:cs="Calibri"/>
        </w:rPr>
        <w:t>No growth in the asset base.</w:t>
      </w:r>
    </w:p>
    <w:p w:rsidR="00D02973" w:rsidRPr="00EA2F26" w:rsidRDefault="00D02973" w:rsidP="00D02973">
      <w:pPr>
        <w:numPr>
          <w:ilvl w:val="0"/>
          <w:numId w:val="44"/>
        </w:numPr>
        <w:tabs>
          <w:tab w:val="left" w:pos="1540"/>
        </w:tabs>
        <w:spacing w:after="120" w:line="240" w:lineRule="auto"/>
        <w:jc w:val="both"/>
        <w:rPr>
          <w:rFonts w:cs="Calibri"/>
        </w:rPr>
      </w:pPr>
      <w:r w:rsidRPr="00EA2F26">
        <w:rPr>
          <w:rFonts w:cs="Calibri"/>
        </w:rPr>
        <w:t>Continued use of current construction techniques and materials.</w:t>
      </w:r>
    </w:p>
    <w:p w:rsidR="00D02973" w:rsidRPr="00EA2F26" w:rsidRDefault="00D02973" w:rsidP="00D02973">
      <w:pPr>
        <w:numPr>
          <w:ilvl w:val="0"/>
          <w:numId w:val="44"/>
        </w:numPr>
        <w:tabs>
          <w:tab w:val="left" w:pos="1540"/>
        </w:tabs>
        <w:spacing w:after="120" w:line="240" w:lineRule="auto"/>
        <w:jc w:val="both"/>
        <w:rPr>
          <w:rFonts w:cs="Calibri"/>
        </w:rPr>
      </w:pPr>
      <w:r w:rsidRPr="00EA2F26">
        <w:rPr>
          <w:rFonts w:cs="Calibri"/>
        </w:rPr>
        <w:t>Maintenance and isolated failure replacement is generally “like for like”.</w:t>
      </w:r>
    </w:p>
    <w:p w:rsidR="00D02973" w:rsidRPr="00EA2F26" w:rsidRDefault="00D02973" w:rsidP="00D02973">
      <w:pPr>
        <w:numPr>
          <w:ilvl w:val="0"/>
          <w:numId w:val="44"/>
        </w:numPr>
        <w:tabs>
          <w:tab w:val="left" w:pos="1540"/>
        </w:tabs>
        <w:spacing w:after="120" w:line="240" w:lineRule="auto"/>
        <w:jc w:val="both"/>
        <w:rPr>
          <w:rFonts w:cs="Calibri"/>
        </w:rPr>
      </w:pPr>
      <w:r w:rsidRPr="00EA2F26">
        <w:rPr>
          <w:rFonts w:cs="Calibri"/>
        </w:rPr>
        <w:t xml:space="preserve">Capitalisation threshold applied to minimum expenditure for maintenance within a single segment as per </w:t>
      </w:r>
      <w:r>
        <w:rPr>
          <w:rFonts w:cs="Calibri"/>
        </w:rPr>
        <w:t>Council</w:t>
      </w:r>
      <w:r w:rsidRPr="00EA2F26">
        <w:rPr>
          <w:rFonts w:cs="Calibri"/>
        </w:rPr>
        <w:t>’s Asset Capitalisation Threshold Policy.</w:t>
      </w:r>
    </w:p>
    <w:p w:rsidR="00D02973" w:rsidRPr="00EA2F26" w:rsidRDefault="00D02973" w:rsidP="00D02973">
      <w:pPr>
        <w:pStyle w:val="ListParagraph"/>
        <w:numPr>
          <w:ilvl w:val="0"/>
          <w:numId w:val="44"/>
        </w:numPr>
        <w:tabs>
          <w:tab w:val="left" w:pos="1540"/>
        </w:tabs>
        <w:spacing w:after="120" w:line="240" w:lineRule="auto"/>
        <w:contextualSpacing w:val="0"/>
        <w:jc w:val="both"/>
        <w:rPr>
          <w:rFonts w:cs="Calibri"/>
        </w:rPr>
      </w:pPr>
      <w:r w:rsidRPr="00EA2F26">
        <w:rPr>
          <w:rFonts w:cs="Calibri"/>
        </w:rPr>
        <w:t>Other equipment and furniture of less than $5,000 in value is to be a service provider’s operational cost.</w:t>
      </w:r>
    </w:p>
    <w:p w:rsidR="00D02973" w:rsidRPr="00EA2F26" w:rsidRDefault="00D02973" w:rsidP="00D02973">
      <w:pPr>
        <w:pStyle w:val="ListParagraph"/>
        <w:numPr>
          <w:ilvl w:val="0"/>
          <w:numId w:val="44"/>
        </w:numPr>
        <w:tabs>
          <w:tab w:val="left" w:pos="1540"/>
        </w:tabs>
        <w:spacing w:after="120" w:line="240" w:lineRule="auto"/>
        <w:contextualSpacing w:val="0"/>
        <w:jc w:val="both"/>
        <w:rPr>
          <w:rFonts w:cs="Calibri"/>
        </w:rPr>
      </w:pPr>
      <w:r w:rsidRPr="00EA2F26">
        <w:rPr>
          <w:rFonts w:cs="Calibri"/>
        </w:rPr>
        <w:t>Operational Administration overheads and other non-asset maintenance costs such as cleaning are not included in the modelling; these will require separate budget consideration via other accounts.</w:t>
      </w:r>
    </w:p>
    <w:p w:rsidR="00D02973" w:rsidRPr="00EA2F26" w:rsidRDefault="00D02973" w:rsidP="00D02973">
      <w:pPr>
        <w:numPr>
          <w:ilvl w:val="0"/>
          <w:numId w:val="43"/>
        </w:numPr>
        <w:tabs>
          <w:tab w:val="left" w:pos="1540"/>
        </w:tabs>
        <w:spacing w:after="120" w:line="240" w:lineRule="auto"/>
        <w:ind w:left="714" w:hanging="357"/>
        <w:jc w:val="both"/>
        <w:rPr>
          <w:rFonts w:cs="Calibri"/>
        </w:rPr>
      </w:pPr>
      <w:r w:rsidRPr="00EA2F26">
        <w:rPr>
          <w:rFonts w:cs="Calibri"/>
        </w:rPr>
        <w:t xml:space="preserve">Depreciation is </w:t>
      </w:r>
      <w:r w:rsidRPr="00EA2F26">
        <w:rPr>
          <w:rFonts w:cs="Arial"/>
        </w:rPr>
        <w:t xml:space="preserve">in accordance with </w:t>
      </w:r>
      <w:r>
        <w:rPr>
          <w:rFonts w:cs="Arial"/>
        </w:rPr>
        <w:t>Council</w:t>
      </w:r>
      <w:r w:rsidRPr="00EA2F26">
        <w:rPr>
          <w:rFonts w:cs="Arial"/>
        </w:rPr>
        <w:t xml:space="preserve"> Policy</w:t>
      </w:r>
      <w:r w:rsidRPr="00EA2F26">
        <w:rPr>
          <w:rFonts w:cs="Calibri"/>
        </w:rPr>
        <w:t>.</w:t>
      </w:r>
    </w:p>
    <w:p w:rsidR="00D02973" w:rsidRPr="00EA2F26" w:rsidRDefault="00D02973" w:rsidP="00D02973">
      <w:pPr>
        <w:numPr>
          <w:ilvl w:val="0"/>
          <w:numId w:val="43"/>
        </w:numPr>
        <w:tabs>
          <w:tab w:val="left" w:pos="1540"/>
        </w:tabs>
        <w:spacing w:after="120" w:line="240" w:lineRule="auto"/>
        <w:ind w:left="714" w:hanging="357"/>
        <w:jc w:val="both"/>
        <w:rPr>
          <w:rFonts w:cs="Calibri"/>
        </w:rPr>
      </w:pPr>
      <w:r w:rsidRPr="00EA2F26">
        <w:rPr>
          <w:rFonts w:cs="Calibri"/>
        </w:rPr>
        <w:t>Renewal works will be prioritised according to condition reaching RICL stated.</w:t>
      </w:r>
    </w:p>
    <w:p w:rsidR="00D02973" w:rsidRPr="00EA2F26" w:rsidRDefault="00D02973" w:rsidP="00D02973">
      <w:pPr>
        <w:numPr>
          <w:ilvl w:val="0"/>
          <w:numId w:val="43"/>
        </w:numPr>
        <w:spacing w:after="120" w:line="240" w:lineRule="auto"/>
        <w:jc w:val="both"/>
        <w:rPr>
          <w:rFonts w:cs="Calibri"/>
        </w:rPr>
      </w:pPr>
      <w:r w:rsidRPr="00EA2F26">
        <w:rPr>
          <w:rFonts w:cs="Calibri"/>
        </w:rPr>
        <w:t>Risk management mitigation works will be subject to the Capitalisation threshold.</w:t>
      </w:r>
    </w:p>
    <w:p w:rsidR="00D976EA" w:rsidRDefault="00D976EA">
      <w:pPr>
        <w:spacing w:after="160" w:line="259" w:lineRule="auto"/>
        <w:rPr>
          <w:sz w:val="24"/>
          <w:szCs w:val="24"/>
        </w:rPr>
      </w:pPr>
    </w:p>
    <w:p w:rsidR="000C7A2E" w:rsidRPr="00C4265F" w:rsidRDefault="000C7A2E" w:rsidP="00C4265F">
      <w:pPr>
        <w:jc w:val="both"/>
        <w:rPr>
          <w:sz w:val="24"/>
          <w:szCs w:val="24"/>
        </w:rPr>
      </w:pPr>
    </w:p>
    <w:sectPr w:rsidR="000C7A2E" w:rsidRPr="00C4265F" w:rsidSect="00021EBB">
      <w:footerReference w:type="default" r:id="rId46"/>
      <w:pgSz w:w="11906" w:h="16838"/>
      <w:pgMar w:top="1440" w:right="1440" w:bottom="1440" w:left="993" w:header="708"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45DF" w:rsidRDefault="009D45DF" w:rsidP="0086600D">
      <w:pPr>
        <w:spacing w:after="0" w:line="240" w:lineRule="auto"/>
      </w:pPr>
      <w:r>
        <w:separator/>
      </w:r>
    </w:p>
  </w:endnote>
  <w:endnote w:type="continuationSeparator" w:id="0">
    <w:p w:rsidR="009D45DF" w:rsidRDefault="009D45DF" w:rsidP="008660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Swis721 Cn BT">
    <w:altName w:val="Arial Narrow"/>
    <w:charset w:val="00"/>
    <w:family w:val="swiss"/>
    <w:pitch w:val="variable"/>
    <w:sig w:usb0="00000001" w:usb1="00000000" w:usb2="00000000" w:usb3="00000000" w:csb0="0000001B" w:csb1="00000000"/>
  </w:font>
  <w:font w:name="AvantGarde Bk BT">
    <w:altName w:val="Century Gothic"/>
    <w:panose1 w:val="00000000000000000000"/>
    <w:charset w:val="00"/>
    <w:family w:val="swiss"/>
    <w:notTrueType/>
    <w:pitch w:val="variable"/>
    <w:sig w:usb0="00000003" w:usb1="00000000" w:usb2="00000000" w:usb3="00000000" w:csb0="00000001"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3758330"/>
      <w:docPartObj>
        <w:docPartGallery w:val="Page Numbers (Bottom of Page)"/>
        <w:docPartUnique/>
      </w:docPartObj>
    </w:sdtPr>
    <w:sdtEndPr>
      <w:rPr>
        <w:noProof/>
      </w:rPr>
    </w:sdtEndPr>
    <w:sdtContent>
      <w:p w:rsidR="009D45DF" w:rsidRDefault="009D45DF">
        <w:pPr>
          <w:pStyle w:val="Footer"/>
          <w:jc w:val="right"/>
        </w:pPr>
      </w:p>
      <w:p w:rsidR="009D45DF" w:rsidRDefault="009D45DF">
        <w:pPr>
          <w:pStyle w:val="Footer"/>
          <w:jc w:val="right"/>
        </w:pPr>
      </w:p>
      <w:p w:rsidR="009D45DF" w:rsidRDefault="009D45DF">
        <w:pPr>
          <w:pStyle w:val="Footer"/>
          <w:jc w:val="right"/>
        </w:pPr>
      </w:p>
      <w:p w:rsidR="009D45DF" w:rsidRDefault="009D45DF">
        <w:pPr>
          <w:pStyle w:val="Footer"/>
          <w:jc w:val="right"/>
        </w:pPr>
      </w:p>
      <w:p w:rsidR="009D45DF" w:rsidRDefault="000702B7">
        <w:pPr>
          <w:pStyle w:val="Footer"/>
          <w:jc w:val="right"/>
        </w:pPr>
      </w:p>
    </w:sdtContent>
  </w:sdt>
  <w:p w:rsidR="009D45DF" w:rsidRDefault="009D45DF" w:rsidP="00D976EA">
    <w:pPr>
      <w:pStyle w:val="Footer"/>
      <w:ind w:left="-1418"/>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6538647"/>
      <w:docPartObj>
        <w:docPartGallery w:val="Page Numbers (Bottom of Page)"/>
        <w:docPartUnique/>
      </w:docPartObj>
    </w:sdtPr>
    <w:sdtEndPr>
      <w:rPr>
        <w:noProof/>
      </w:rPr>
    </w:sdtEndPr>
    <w:sdtContent>
      <w:p w:rsidR="009D45DF" w:rsidRDefault="009D45DF">
        <w:pPr>
          <w:pStyle w:val="Footer"/>
          <w:jc w:val="right"/>
        </w:pPr>
      </w:p>
      <w:p w:rsidR="009D45DF" w:rsidRDefault="009D45DF">
        <w:pPr>
          <w:pStyle w:val="Footer"/>
          <w:jc w:val="right"/>
        </w:pPr>
      </w:p>
      <w:p w:rsidR="009D45DF" w:rsidRDefault="009D45DF">
        <w:pPr>
          <w:pStyle w:val="Footer"/>
          <w:jc w:val="right"/>
        </w:pPr>
      </w:p>
      <w:p w:rsidR="009D45DF" w:rsidRDefault="009D45DF">
        <w:pPr>
          <w:pStyle w:val="Footer"/>
          <w:jc w:val="right"/>
        </w:pPr>
      </w:p>
      <w:p w:rsidR="009D45DF" w:rsidRDefault="000702B7">
        <w:pPr>
          <w:pStyle w:val="Footer"/>
          <w:jc w:val="right"/>
        </w:pPr>
      </w:p>
    </w:sdtContent>
  </w:sdt>
  <w:p w:rsidR="009D45DF" w:rsidRDefault="009D45DF" w:rsidP="00D976EA">
    <w:pPr>
      <w:pStyle w:val="Footer"/>
      <w:ind w:left="-14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1163132"/>
      <w:docPartObj>
        <w:docPartGallery w:val="Page Numbers (Bottom of Page)"/>
        <w:docPartUnique/>
      </w:docPartObj>
    </w:sdtPr>
    <w:sdtEndPr>
      <w:rPr>
        <w:noProof/>
      </w:rPr>
    </w:sdtEndPr>
    <w:sdtContent>
      <w:p w:rsidR="009D45DF" w:rsidRDefault="009D45DF">
        <w:pPr>
          <w:pStyle w:val="Footer"/>
          <w:jc w:val="right"/>
        </w:pPr>
      </w:p>
      <w:p w:rsidR="009D45DF" w:rsidRDefault="009D45DF">
        <w:pPr>
          <w:pStyle w:val="Footer"/>
          <w:jc w:val="right"/>
        </w:pPr>
        <w:r w:rsidRPr="002E094B">
          <w:rPr>
            <w:noProof/>
            <w:lang w:eastAsia="en-AU"/>
          </w:rPr>
          <mc:AlternateContent>
            <mc:Choice Requires="wps">
              <w:drawing>
                <wp:anchor distT="0" distB="0" distL="114300" distR="114300" simplePos="0" relativeHeight="251679744" behindDoc="0" locked="0" layoutInCell="1" allowOverlap="1" wp14:anchorId="0A27B0E8" wp14:editId="2FBA5B3F">
                  <wp:simplePos x="0" y="0"/>
                  <wp:positionH relativeFrom="page">
                    <wp:align>right</wp:align>
                  </wp:positionH>
                  <wp:positionV relativeFrom="paragraph">
                    <wp:posOffset>11430</wp:posOffset>
                  </wp:positionV>
                  <wp:extent cx="5478145" cy="404495"/>
                  <wp:effectExtent l="0" t="0" r="8255" b="0"/>
                  <wp:wrapNone/>
                  <wp:docPr id="21" name="Freeform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78145" cy="404495"/>
                          </a:xfrm>
                          <a:custGeom>
                            <a:avLst/>
                            <a:gdLst>
                              <a:gd name="T0" fmla="+- 0 11906 3279"/>
                              <a:gd name="T1" fmla="*/ T0 w 8627"/>
                              <a:gd name="T2" fmla="+- 0 10281 10281"/>
                              <a:gd name="T3" fmla="*/ 10281 h 637"/>
                              <a:gd name="T4" fmla="+- 0 3279 3279"/>
                              <a:gd name="T5" fmla="*/ T4 w 8627"/>
                              <a:gd name="T6" fmla="+- 0 10754 10281"/>
                              <a:gd name="T7" fmla="*/ 10754 h 637"/>
                              <a:gd name="T8" fmla="+- 0 11906 3279"/>
                              <a:gd name="T9" fmla="*/ T8 w 8627"/>
                              <a:gd name="T10" fmla="+- 0 10918 10281"/>
                              <a:gd name="T11" fmla="*/ 10918 h 637"/>
                              <a:gd name="T12" fmla="+- 0 11906 3279"/>
                              <a:gd name="T13" fmla="*/ T12 w 8627"/>
                              <a:gd name="T14" fmla="+- 0 10281 10281"/>
                              <a:gd name="T15" fmla="*/ 10281 h 637"/>
                            </a:gdLst>
                            <a:ahLst/>
                            <a:cxnLst>
                              <a:cxn ang="0">
                                <a:pos x="T1" y="T3"/>
                              </a:cxn>
                              <a:cxn ang="0">
                                <a:pos x="T5" y="T7"/>
                              </a:cxn>
                              <a:cxn ang="0">
                                <a:pos x="T9" y="T11"/>
                              </a:cxn>
                              <a:cxn ang="0">
                                <a:pos x="T13" y="T15"/>
                              </a:cxn>
                            </a:cxnLst>
                            <a:rect l="0" t="0" r="r" b="b"/>
                            <a:pathLst>
                              <a:path w="8627" h="637">
                                <a:moveTo>
                                  <a:pt x="8627" y="0"/>
                                </a:moveTo>
                                <a:lnTo>
                                  <a:pt x="0" y="473"/>
                                </a:lnTo>
                                <a:lnTo>
                                  <a:pt x="8627" y="637"/>
                                </a:lnTo>
                                <a:lnTo>
                                  <a:pt x="8627" y="0"/>
                                </a:lnTo>
                                <a:close/>
                              </a:path>
                            </a:pathLst>
                          </a:custGeom>
                          <a:solidFill>
                            <a:srgbClr val="00A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A2E1C36" id="Freeform 153" o:spid="_x0000_s1026" style="position:absolute;margin-left:380.15pt;margin-top:.9pt;width:431.35pt;height:31.85pt;z-index:251679744;visibility:visible;mso-wrap-style:square;mso-wrap-distance-left:9pt;mso-wrap-distance-top:0;mso-wrap-distance-right:9pt;mso-wrap-distance-bottom:0;mso-position-horizontal:right;mso-position-horizontal-relative:page;mso-position-vertical:absolute;mso-position-vertical-relative:text;v-text-anchor:top" coordsize="8627,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" path="m8627,l,473,8627,637,8627,xe" fillcolor="#00abdf" stroked="f">
                  <v:path arrowok="t" o:connecttype="custom" o:connectlocs="5478145,6528435;0,6828790;5478145,6932930;5478145,6528435" o:connectangles="0,0,0,0"/>
                  <w10:wrap anchorx="page"/>
                </v:shape>
              </w:pict>
            </mc:Fallback>
          </mc:AlternateContent>
        </w:r>
        <w:r w:rsidRPr="002E094B">
          <w:rPr>
            <w:noProof/>
            <w:lang w:eastAsia="en-AU"/>
          </w:rPr>
          <mc:AlternateContent>
            <mc:Choice Requires="wps">
              <w:drawing>
                <wp:anchor distT="0" distB="0" distL="114300" distR="114300" simplePos="0" relativeHeight="251677696" behindDoc="0" locked="0" layoutInCell="1" allowOverlap="1" wp14:anchorId="1B4B44C0" wp14:editId="31992A74">
                  <wp:simplePos x="0" y="0"/>
                  <wp:positionH relativeFrom="page">
                    <wp:posOffset>19050</wp:posOffset>
                  </wp:positionH>
                  <wp:positionV relativeFrom="paragraph">
                    <wp:posOffset>230505</wp:posOffset>
                  </wp:positionV>
                  <wp:extent cx="2114550" cy="228600"/>
                  <wp:effectExtent l="0" t="0" r="0" b="0"/>
                  <wp:wrapNone/>
                  <wp:docPr id="20"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14550" cy="228600"/>
                          </a:xfrm>
                          <a:custGeom>
                            <a:avLst/>
                            <a:gdLst>
                              <a:gd name="T0" fmla="*/ 0 w 3279"/>
                              <a:gd name="T1" fmla="+- 0 10654 10654"/>
                              <a:gd name="T2" fmla="*/ 10654 h 340"/>
                              <a:gd name="T3" fmla="*/ 0 w 3279"/>
                              <a:gd name="T4" fmla="+- 0 10993 10654"/>
                              <a:gd name="T5" fmla="*/ 10993 h 340"/>
                              <a:gd name="T6" fmla="*/ 3279 w 3279"/>
                              <a:gd name="T7" fmla="+- 0 10754 10654"/>
                              <a:gd name="T8" fmla="*/ 10754 h 340"/>
                              <a:gd name="T9" fmla="*/ 0 w 3279"/>
                              <a:gd name="T10" fmla="+- 0 10654 10654"/>
                              <a:gd name="T11" fmla="*/ 10654 h 340"/>
                            </a:gdLst>
                            <a:ahLst/>
                            <a:cxnLst>
                              <a:cxn ang="0">
                                <a:pos x="T0" y="T2"/>
                              </a:cxn>
                              <a:cxn ang="0">
                                <a:pos x="T3" y="T5"/>
                              </a:cxn>
                              <a:cxn ang="0">
                                <a:pos x="T6" y="T8"/>
                              </a:cxn>
                              <a:cxn ang="0">
                                <a:pos x="T9" y="T11"/>
                              </a:cxn>
                            </a:cxnLst>
                            <a:rect l="0" t="0" r="r" b="b"/>
                            <a:pathLst>
                              <a:path w="3279" h="340">
                                <a:moveTo>
                                  <a:pt x="0" y="0"/>
                                </a:moveTo>
                                <a:lnTo>
                                  <a:pt x="0" y="339"/>
                                </a:lnTo>
                                <a:lnTo>
                                  <a:pt x="3279" y="100"/>
                                </a:lnTo>
                                <a:lnTo>
                                  <a:pt x="0" y="0"/>
                                </a:lnTo>
                                <a:close/>
                              </a:path>
                            </a:pathLst>
                          </a:custGeom>
                          <a:solidFill>
                            <a:srgbClr val="006B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C0AA11" id="Freeform 155" o:spid="_x0000_s1026" style="position:absolute;margin-left:1.5pt;margin-top:18.15pt;width:166.5pt;height:18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3279,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" path="m,l,339,3279,100,,xe" fillcolor="#006bb6" stroked="f">
                  <v:path arrowok="t" o:connecttype="custom" o:connectlocs="0,7163248;0,7391176;2114550,7230484;0,7163248" o:connectangles="0,0,0,0"/>
                  <w10:wrap anchorx="page"/>
                </v:shape>
              </w:pict>
            </mc:Fallback>
          </mc:AlternateContent>
        </w:r>
      </w:p>
      <w:p w:rsidR="009D45DF" w:rsidRDefault="009D45DF">
        <w:pPr>
          <w:pStyle w:val="Footer"/>
          <w:jc w:val="right"/>
        </w:pPr>
      </w:p>
      <w:p w:rsidR="009D45DF" w:rsidRDefault="009D45DF">
        <w:pPr>
          <w:pStyle w:val="Footer"/>
          <w:jc w:val="right"/>
        </w:pPr>
      </w:p>
      <w:p w:rsidR="009D45DF" w:rsidRDefault="009D45DF">
        <w:pPr>
          <w:pStyle w:val="Footer"/>
          <w:jc w:val="right"/>
        </w:pPr>
        <w:r>
          <w:fldChar w:fldCharType="begin"/>
        </w:r>
        <w:r>
          <w:instrText xml:space="preserve"> PAGE   \* MERGEFORMAT </w:instrText>
        </w:r>
        <w:r>
          <w:fldChar w:fldCharType="separate"/>
        </w:r>
        <w:r w:rsidR="000702B7">
          <w:rPr>
            <w:noProof/>
          </w:rPr>
          <w:t>1</w:t>
        </w:r>
        <w:r>
          <w:rPr>
            <w:noProof/>
          </w:rPr>
          <w:fldChar w:fldCharType="end"/>
        </w:r>
      </w:p>
    </w:sdtContent>
  </w:sdt>
  <w:p w:rsidR="009D45DF" w:rsidRDefault="009D45DF" w:rsidP="00DF2FAC">
    <w:pPr>
      <w:pStyle w:val="Footer"/>
      <w:tabs>
        <w:tab w:val="clear" w:pos="9026"/>
        <w:tab w:val="left" w:pos="1937"/>
        <w:tab w:val="right" w:pos="9027"/>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3834429"/>
      <w:docPartObj>
        <w:docPartGallery w:val="Page Numbers (Bottom of Page)"/>
        <w:docPartUnique/>
      </w:docPartObj>
    </w:sdtPr>
    <w:sdtEndPr>
      <w:rPr>
        <w:noProof/>
      </w:rPr>
    </w:sdtEndPr>
    <w:sdtContent>
      <w:p w:rsidR="009D45DF" w:rsidRDefault="009D45DF">
        <w:pPr>
          <w:pStyle w:val="Footer"/>
          <w:jc w:val="right"/>
        </w:pPr>
        <w:r>
          <w:fldChar w:fldCharType="begin"/>
        </w:r>
        <w:r>
          <w:instrText xml:space="preserve"> PAGE   \* MERGEFORMAT </w:instrText>
        </w:r>
        <w:r>
          <w:fldChar w:fldCharType="separate"/>
        </w:r>
        <w:r>
          <w:rPr>
            <w:noProof/>
          </w:rPr>
          <w:t>61</w:t>
        </w:r>
        <w:r>
          <w:rPr>
            <w:noProof/>
          </w:rPr>
          <w:fldChar w:fldCharType="end"/>
        </w:r>
      </w:p>
    </w:sdtContent>
  </w:sdt>
  <w:p w:rsidR="009D45DF" w:rsidRDefault="009D45D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0610929"/>
      <w:docPartObj>
        <w:docPartGallery w:val="Page Numbers (Bottom of Page)"/>
        <w:docPartUnique/>
      </w:docPartObj>
    </w:sdtPr>
    <w:sdtEndPr>
      <w:rPr>
        <w:noProof/>
      </w:rPr>
    </w:sdtEndPr>
    <w:sdtContent>
      <w:p w:rsidR="009D45DF" w:rsidRDefault="009D45DF">
        <w:pPr>
          <w:pStyle w:val="Footer"/>
          <w:jc w:val="right"/>
        </w:pPr>
      </w:p>
      <w:p w:rsidR="009D45DF" w:rsidRDefault="009D45DF">
        <w:pPr>
          <w:pStyle w:val="Footer"/>
          <w:jc w:val="right"/>
        </w:pPr>
        <w:r w:rsidRPr="002E094B">
          <w:rPr>
            <w:noProof/>
            <w:lang w:eastAsia="en-AU"/>
          </w:rPr>
          <mc:AlternateContent>
            <mc:Choice Requires="wps">
              <w:drawing>
                <wp:anchor distT="0" distB="0" distL="114300" distR="114300" simplePos="0" relativeHeight="251695104" behindDoc="0" locked="0" layoutInCell="1" allowOverlap="1" wp14:anchorId="21DBC527" wp14:editId="07274050">
                  <wp:simplePos x="0" y="0"/>
                  <wp:positionH relativeFrom="page">
                    <wp:align>right</wp:align>
                  </wp:positionH>
                  <wp:positionV relativeFrom="paragraph">
                    <wp:posOffset>11430</wp:posOffset>
                  </wp:positionV>
                  <wp:extent cx="5478145" cy="404495"/>
                  <wp:effectExtent l="0" t="0" r="8255" b="0"/>
                  <wp:wrapNone/>
                  <wp:docPr id="104" name="Freeform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78145" cy="404495"/>
                          </a:xfrm>
                          <a:custGeom>
                            <a:avLst/>
                            <a:gdLst>
                              <a:gd name="T0" fmla="+- 0 11906 3279"/>
                              <a:gd name="T1" fmla="*/ T0 w 8627"/>
                              <a:gd name="T2" fmla="+- 0 10281 10281"/>
                              <a:gd name="T3" fmla="*/ 10281 h 637"/>
                              <a:gd name="T4" fmla="+- 0 3279 3279"/>
                              <a:gd name="T5" fmla="*/ T4 w 8627"/>
                              <a:gd name="T6" fmla="+- 0 10754 10281"/>
                              <a:gd name="T7" fmla="*/ 10754 h 637"/>
                              <a:gd name="T8" fmla="+- 0 11906 3279"/>
                              <a:gd name="T9" fmla="*/ T8 w 8627"/>
                              <a:gd name="T10" fmla="+- 0 10918 10281"/>
                              <a:gd name="T11" fmla="*/ 10918 h 637"/>
                              <a:gd name="T12" fmla="+- 0 11906 3279"/>
                              <a:gd name="T13" fmla="*/ T12 w 8627"/>
                              <a:gd name="T14" fmla="+- 0 10281 10281"/>
                              <a:gd name="T15" fmla="*/ 10281 h 637"/>
                            </a:gdLst>
                            <a:ahLst/>
                            <a:cxnLst>
                              <a:cxn ang="0">
                                <a:pos x="T1" y="T3"/>
                              </a:cxn>
                              <a:cxn ang="0">
                                <a:pos x="T5" y="T7"/>
                              </a:cxn>
                              <a:cxn ang="0">
                                <a:pos x="T9" y="T11"/>
                              </a:cxn>
                              <a:cxn ang="0">
                                <a:pos x="T13" y="T15"/>
                              </a:cxn>
                            </a:cxnLst>
                            <a:rect l="0" t="0" r="r" b="b"/>
                            <a:pathLst>
                              <a:path w="8627" h="637">
                                <a:moveTo>
                                  <a:pt x="8627" y="0"/>
                                </a:moveTo>
                                <a:lnTo>
                                  <a:pt x="0" y="473"/>
                                </a:lnTo>
                                <a:lnTo>
                                  <a:pt x="8627" y="637"/>
                                </a:lnTo>
                                <a:lnTo>
                                  <a:pt x="8627" y="0"/>
                                </a:lnTo>
                                <a:close/>
                              </a:path>
                            </a:pathLst>
                          </a:custGeom>
                          <a:solidFill>
                            <a:srgbClr val="00A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83ECC50" id="Freeform 153" o:spid="_x0000_s1026" style="position:absolute;margin-left:380.15pt;margin-top:.9pt;width:431.35pt;height:31.85pt;z-index:251695104;visibility:visible;mso-wrap-style:square;mso-wrap-distance-left:9pt;mso-wrap-distance-top:0;mso-wrap-distance-right:9pt;mso-wrap-distance-bottom:0;mso-position-horizontal:right;mso-position-horizontal-relative:page;mso-position-vertical:absolute;mso-position-vertical-relative:text;v-text-anchor:top" coordsize="8627,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" path="m8627,l,473,8627,637,8627,xe" fillcolor="#00abdf" stroked="f">
                  <v:path arrowok="t" o:connecttype="custom" o:connectlocs="5478145,6528435;0,6828790;5478145,6932930;5478145,6528435" o:connectangles="0,0,0,0"/>
                  <w10:wrap anchorx="page"/>
                </v:shape>
              </w:pict>
            </mc:Fallback>
          </mc:AlternateContent>
        </w:r>
        <w:r w:rsidRPr="002E094B">
          <w:rPr>
            <w:noProof/>
            <w:lang w:eastAsia="en-AU"/>
          </w:rPr>
          <mc:AlternateContent>
            <mc:Choice Requires="wps">
              <w:drawing>
                <wp:anchor distT="0" distB="0" distL="114300" distR="114300" simplePos="0" relativeHeight="251694080" behindDoc="0" locked="0" layoutInCell="1" allowOverlap="1" wp14:anchorId="07DAFA0F" wp14:editId="76B7BF61">
                  <wp:simplePos x="0" y="0"/>
                  <wp:positionH relativeFrom="page">
                    <wp:posOffset>19050</wp:posOffset>
                  </wp:positionH>
                  <wp:positionV relativeFrom="paragraph">
                    <wp:posOffset>230505</wp:posOffset>
                  </wp:positionV>
                  <wp:extent cx="2114550" cy="228600"/>
                  <wp:effectExtent l="0" t="0" r="0" b="0"/>
                  <wp:wrapNone/>
                  <wp:docPr id="105"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14550" cy="228600"/>
                          </a:xfrm>
                          <a:custGeom>
                            <a:avLst/>
                            <a:gdLst>
                              <a:gd name="T0" fmla="*/ 0 w 3279"/>
                              <a:gd name="T1" fmla="+- 0 10654 10654"/>
                              <a:gd name="T2" fmla="*/ 10654 h 340"/>
                              <a:gd name="T3" fmla="*/ 0 w 3279"/>
                              <a:gd name="T4" fmla="+- 0 10993 10654"/>
                              <a:gd name="T5" fmla="*/ 10993 h 340"/>
                              <a:gd name="T6" fmla="*/ 3279 w 3279"/>
                              <a:gd name="T7" fmla="+- 0 10754 10654"/>
                              <a:gd name="T8" fmla="*/ 10754 h 340"/>
                              <a:gd name="T9" fmla="*/ 0 w 3279"/>
                              <a:gd name="T10" fmla="+- 0 10654 10654"/>
                              <a:gd name="T11" fmla="*/ 10654 h 340"/>
                            </a:gdLst>
                            <a:ahLst/>
                            <a:cxnLst>
                              <a:cxn ang="0">
                                <a:pos x="T0" y="T2"/>
                              </a:cxn>
                              <a:cxn ang="0">
                                <a:pos x="T3" y="T5"/>
                              </a:cxn>
                              <a:cxn ang="0">
                                <a:pos x="T6" y="T8"/>
                              </a:cxn>
                              <a:cxn ang="0">
                                <a:pos x="T9" y="T11"/>
                              </a:cxn>
                            </a:cxnLst>
                            <a:rect l="0" t="0" r="r" b="b"/>
                            <a:pathLst>
                              <a:path w="3279" h="340">
                                <a:moveTo>
                                  <a:pt x="0" y="0"/>
                                </a:moveTo>
                                <a:lnTo>
                                  <a:pt x="0" y="339"/>
                                </a:lnTo>
                                <a:lnTo>
                                  <a:pt x="3279" y="100"/>
                                </a:lnTo>
                                <a:lnTo>
                                  <a:pt x="0" y="0"/>
                                </a:lnTo>
                                <a:close/>
                              </a:path>
                            </a:pathLst>
                          </a:custGeom>
                          <a:solidFill>
                            <a:srgbClr val="006B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015CE8" id="Freeform 155" o:spid="_x0000_s1026" style="position:absolute;margin-left:1.5pt;margin-top:18.15pt;width:166.5pt;height:18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3279,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" path="m,l,339,3279,100,,xe" fillcolor="#006bb6" stroked="f">
                  <v:path arrowok="t" o:connecttype="custom" o:connectlocs="0,7163248;0,7391176;2114550,7230484;0,7163248" o:connectangles="0,0,0,0"/>
                  <w10:wrap anchorx="page"/>
                </v:shape>
              </w:pict>
            </mc:Fallback>
          </mc:AlternateContent>
        </w:r>
      </w:p>
      <w:p w:rsidR="009D45DF" w:rsidRDefault="009D45DF">
        <w:pPr>
          <w:pStyle w:val="Footer"/>
          <w:jc w:val="right"/>
        </w:pPr>
      </w:p>
      <w:p w:rsidR="009D45DF" w:rsidRDefault="009D45DF">
        <w:pPr>
          <w:pStyle w:val="Footer"/>
          <w:jc w:val="right"/>
        </w:pPr>
      </w:p>
      <w:p w:rsidR="009D45DF" w:rsidRDefault="009D45DF">
        <w:pPr>
          <w:pStyle w:val="Footer"/>
          <w:jc w:val="right"/>
        </w:pPr>
        <w:r>
          <w:fldChar w:fldCharType="begin"/>
        </w:r>
        <w:r>
          <w:instrText xml:space="preserve"> PAGE   \* MERGEFORMAT </w:instrText>
        </w:r>
        <w:r>
          <w:fldChar w:fldCharType="separate"/>
        </w:r>
        <w:r>
          <w:rPr>
            <w:noProof/>
          </w:rPr>
          <w:t>65</w:t>
        </w:r>
        <w:r>
          <w:rPr>
            <w:noProof/>
          </w:rPr>
          <w:fldChar w:fldCharType="end"/>
        </w:r>
      </w:p>
    </w:sdtContent>
  </w:sdt>
  <w:p w:rsidR="009D45DF" w:rsidRDefault="009D45DF" w:rsidP="00DF2FAC">
    <w:pPr>
      <w:pStyle w:val="Footer"/>
      <w:tabs>
        <w:tab w:val="clear" w:pos="9026"/>
        <w:tab w:val="left" w:pos="1937"/>
        <w:tab w:val="right" w:pos="9027"/>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5530621"/>
      <w:docPartObj>
        <w:docPartGallery w:val="Page Numbers (Bottom of Page)"/>
        <w:docPartUnique/>
      </w:docPartObj>
    </w:sdtPr>
    <w:sdtEndPr>
      <w:rPr>
        <w:noProof/>
      </w:rPr>
    </w:sdtEndPr>
    <w:sdtContent>
      <w:p w:rsidR="009D45DF" w:rsidRDefault="000702B7">
        <w:pPr>
          <w:pStyle w:val="Footer"/>
          <w:jc w:val="right"/>
        </w:pPr>
      </w:p>
    </w:sdtContent>
  </w:sdt>
  <w:p w:rsidR="009D45DF" w:rsidRDefault="009D45D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2066204"/>
      <w:docPartObj>
        <w:docPartGallery w:val="Page Numbers (Bottom of Page)"/>
        <w:docPartUnique/>
      </w:docPartObj>
    </w:sdtPr>
    <w:sdtEndPr>
      <w:rPr>
        <w:noProof/>
      </w:rPr>
    </w:sdtEndPr>
    <w:sdtContent>
      <w:p w:rsidR="009D45DF" w:rsidRDefault="009D45DF">
        <w:pPr>
          <w:pStyle w:val="Footer"/>
          <w:jc w:val="right"/>
        </w:pPr>
      </w:p>
      <w:p w:rsidR="009D45DF" w:rsidRDefault="000702B7">
        <w:pPr>
          <w:pStyle w:val="Footer"/>
          <w:jc w:val="right"/>
        </w:pPr>
      </w:p>
    </w:sdtContent>
  </w:sdt>
  <w:p w:rsidR="009D45DF" w:rsidRDefault="009D45D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5DF" w:rsidRDefault="009D45DF" w:rsidP="00DF2FAC">
    <w:pPr>
      <w:pStyle w:val="Footer"/>
      <w:tabs>
        <w:tab w:val="clear" w:pos="9026"/>
        <w:tab w:val="left" w:pos="1937"/>
        <w:tab w:val="right" w:pos="9027"/>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0953746"/>
      <w:docPartObj>
        <w:docPartGallery w:val="Page Numbers (Bottom of Page)"/>
        <w:docPartUnique/>
      </w:docPartObj>
    </w:sdtPr>
    <w:sdtEndPr>
      <w:rPr>
        <w:noProof/>
      </w:rPr>
    </w:sdtEndPr>
    <w:sdtContent>
      <w:p w:rsidR="009D45DF" w:rsidRDefault="009D45DF">
        <w:pPr>
          <w:pStyle w:val="Footer"/>
          <w:jc w:val="right"/>
        </w:pPr>
      </w:p>
      <w:p w:rsidR="009D45DF" w:rsidRDefault="000702B7">
        <w:pPr>
          <w:pStyle w:val="Footer"/>
          <w:jc w:val="right"/>
        </w:pPr>
      </w:p>
    </w:sdtContent>
  </w:sdt>
  <w:p w:rsidR="009D45DF" w:rsidRDefault="009D45DF">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5024592"/>
      <w:docPartObj>
        <w:docPartGallery w:val="Page Numbers (Bottom of Page)"/>
        <w:docPartUnique/>
      </w:docPartObj>
    </w:sdtPr>
    <w:sdtEndPr>
      <w:rPr>
        <w:noProof/>
      </w:rPr>
    </w:sdtEndPr>
    <w:sdtContent>
      <w:p w:rsidR="009D45DF" w:rsidRDefault="009D45DF">
        <w:pPr>
          <w:pStyle w:val="Footer"/>
          <w:jc w:val="right"/>
        </w:pPr>
      </w:p>
      <w:p w:rsidR="009D45DF" w:rsidRDefault="000702B7">
        <w:pPr>
          <w:pStyle w:val="Footer"/>
          <w:jc w:val="right"/>
        </w:pPr>
      </w:p>
    </w:sdtContent>
  </w:sdt>
  <w:p w:rsidR="009D45DF" w:rsidRDefault="009D45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45DF" w:rsidRDefault="009D45DF" w:rsidP="0086600D">
      <w:pPr>
        <w:spacing w:after="0" w:line="240" w:lineRule="auto"/>
      </w:pPr>
      <w:r>
        <w:separator/>
      </w:r>
    </w:p>
  </w:footnote>
  <w:footnote w:type="continuationSeparator" w:id="0">
    <w:p w:rsidR="009D45DF" w:rsidRDefault="009D45DF" w:rsidP="0086600D">
      <w:pPr>
        <w:spacing w:after="0" w:line="240" w:lineRule="auto"/>
      </w:pPr>
      <w:r>
        <w:continuationSeparator/>
      </w:r>
    </w:p>
  </w:footnote>
  <w:footnote w:id="1">
    <w:p w:rsidR="009D45DF" w:rsidRPr="00393DED" w:rsidRDefault="009D45DF" w:rsidP="00D02973">
      <w:pPr>
        <w:pStyle w:val="FootnoteText"/>
        <w:rPr>
          <w:sz w:val="16"/>
          <w:szCs w:val="16"/>
        </w:rPr>
      </w:pPr>
      <w:r w:rsidRPr="00393DED">
        <w:rPr>
          <w:rStyle w:val="FootnoteReference"/>
          <w:sz w:val="16"/>
          <w:szCs w:val="16"/>
        </w:rPr>
        <w:footnoteRef/>
      </w:r>
      <w:r w:rsidRPr="00393DED">
        <w:rPr>
          <w:sz w:val="16"/>
          <w:szCs w:val="16"/>
        </w:rPr>
        <w:t xml:space="preserve"> http://www.bayside.vic.gov.au/living_in_bayside/6590.htm</w:t>
      </w:r>
    </w:p>
  </w:footnote>
  <w:footnote w:id="2">
    <w:p w:rsidR="009D45DF" w:rsidRPr="0018576E" w:rsidRDefault="009D45DF" w:rsidP="00D02973">
      <w:pPr>
        <w:pStyle w:val="FootnoteText"/>
        <w:rPr>
          <w:rFonts w:asciiTheme="minorHAnsi" w:hAnsiTheme="minorHAnsi"/>
        </w:rPr>
      </w:pPr>
      <w:r w:rsidRPr="0018576E">
        <w:rPr>
          <w:rStyle w:val="FootnoteReference"/>
          <w:rFonts w:asciiTheme="minorHAnsi" w:hAnsiTheme="minorHAnsi"/>
        </w:rPr>
        <w:footnoteRef/>
      </w:r>
      <w:r w:rsidRPr="0018576E">
        <w:rPr>
          <w:rFonts w:asciiTheme="minorHAnsi" w:hAnsiTheme="minorHAnsi"/>
        </w:rPr>
        <w:t xml:space="preserve"> Strategic Service Review Framework, 21 October 2014, FOL/13/33581</w:t>
      </w:r>
    </w:p>
  </w:footnote>
  <w:footnote w:id="3">
    <w:p w:rsidR="009D45DF" w:rsidRDefault="009D45DF" w:rsidP="00D02973">
      <w:pPr>
        <w:pStyle w:val="FootnoteText"/>
      </w:pPr>
      <w:r w:rsidRPr="0018576E">
        <w:rPr>
          <w:rStyle w:val="FootnoteReference"/>
          <w:rFonts w:asciiTheme="minorHAnsi" w:hAnsiTheme="minorHAnsi"/>
        </w:rPr>
        <w:footnoteRef/>
      </w:r>
      <w:r w:rsidRPr="0018576E">
        <w:rPr>
          <w:rFonts w:asciiTheme="minorHAnsi" w:hAnsiTheme="minorHAnsi"/>
        </w:rPr>
        <w:t xml:space="preserve"> Deloitte, Service Dri</w:t>
      </w:r>
      <w:r>
        <w:rPr>
          <w:rFonts w:asciiTheme="minorHAnsi" w:hAnsiTheme="minorHAnsi"/>
        </w:rPr>
        <w:t>ven Asset Management, July 2012, DOC/12/84970</w:t>
      </w:r>
    </w:p>
  </w:footnote>
  <w:footnote w:id="4">
    <w:p w:rsidR="009D45DF" w:rsidRPr="00947901" w:rsidRDefault="009D45DF" w:rsidP="00D02973">
      <w:pPr>
        <w:pStyle w:val="FootnoteText"/>
        <w:rPr>
          <w:rFonts w:asciiTheme="majorHAnsi" w:hAnsiTheme="majorHAnsi"/>
        </w:rPr>
      </w:pPr>
      <w:r w:rsidRPr="00947901">
        <w:rPr>
          <w:rStyle w:val="FootnoteReference"/>
          <w:rFonts w:asciiTheme="majorHAnsi" w:hAnsiTheme="majorHAnsi"/>
        </w:rPr>
        <w:footnoteRef/>
      </w:r>
      <w:r>
        <w:rPr>
          <w:rFonts w:asciiTheme="majorHAnsi" w:hAnsiTheme="majorHAnsi"/>
          <w:lang w:val="en-US"/>
        </w:rPr>
        <w:t xml:space="preserve"> </w:t>
      </w:r>
      <w:r w:rsidRPr="00947901">
        <w:rPr>
          <w:rFonts w:asciiTheme="majorHAnsi" w:hAnsiTheme="majorHAnsi"/>
          <w:lang w:val="en-US"/>
        </w:rPr>
        <w:t>University of Western Sydney Urban Research Centre, 2011, Local Government and Ageing, page 4</w:t>
      </w:r>
    </w:p>
  </w:footnote>
  <w:footnote w:id="5">
    <w:p w:rsidR="009D45DF" w:rsidRPr="000A0F8F" w:rsidRDefault="009D45DF" w:rsidP="00D02973">
      <w:pPr>
        <w:pStyle w:val="FootnoteText"/>
        <w:rPr>
          <w:rStyle w:val="FootnoteReference"/>
          <w:sz w:val="16"/>
          <w:szCs w:val="16"/>
        </w:rPr>
      </w:pPr>
      <w:r w:rsidRPr="00947901">
        <w:rPr>
          <w:rStyle w:val="FootnoteReference"/>
          <w:rFonts w:asciiTheme="majorHAnsi" w:hAnsiTheme="majorHAnsi"/>
        </w:rPr>
        <w:footnoteRef/>
      </w:r>
      <w:r>
        <w:rPr>
          <w:rFonts w:asciiTheme="majorHAnsi" w:hAnsiTheme="majorHAnsi"/>
          <w:lang w:val="en-US"/>
        </w:rPr>
        <w:t xml:space="preserve"> </w:t>
      </w:r>
      <w:r w:rsidRPr="00947901">
        <w:rPr>
          <w:rFonts w:asciiTheme="majorHAnsi" w:hAnsiTheme="majorHAnsi"/>
          <w:lang w:val="en-US"/>
        </w:rPr>
        <w:t>DOC/12/55184 &amp; DOC/12/55185</w:t>
      </w:r>
    </w:p>
  </w:footnote>
  <w:footnote w:id="6">
    <w:p w:rsidR="009D45DF" w:rsidRPr="00947901" w:rsidRDefault="009D45DF" w:rsidP="00D02973">
      <w:pPr>
        <w:pStyle w:val="FootnoteText"/>
        <w:rPr>
          <w:rFonts w:asciiTheme="minorHAnsi" w:hAnsiTheme="minorHAnsi"/>
        </w:rPr>
      </w:pPr>
      <w:r w:rsidRPr="00947901">
        <w:rPr>
          <w:rStyle w:val="FootnoteReference"/>
          <w:rFonts w:asciiTheme="minorHAnsi" w:hAnsiTheme="minorHAnsi"/>
        </w:rPr>
        <w:footnoteRef/>
      </w:r>
      <w:r w:rsidRPr="00947901">
        <w:rPr>
          <w:rFonts w:asciiTheme="minorHAnsi" w:hAnsiTheme="minorHAnsi"/>
        </w:rPr>
        <w:t xml:space="preserve"> http://www.bayside.vic.gov.au/about_the_</w:t>
      </w:r>
      <w:r>
        <w:rPr>
          <w:rFonts w:asciiTheme="minorHAnsi" w:hAnsiTheme="minorHAnsi"/>
        </w:rPr>
        <w:t>Council</w:t>
      </w:r>
      <w:r w:rsidRPr="00947901">
        <w:rPr>
          <w:rFonts w:asciiTheme="minorHAnsi" w:hAnsiTheme="minorHAnsi"/>
        </w:rPr>
        <w:t>/plans_policies_and_budgets.htm</w:t>
      </w:r>
    </w:p>
  </w:footnote>
  <w:footnote w:id="7">
    <w:p w:rsidR="009D45DF" w:rsidRPr="003D6521" w:rsidRDefault="009D45DF" w:rsidP="00D02973">
      <w:pPr>
        <w:pStyle w:val="EndnoteText"/>
        <w:spacing w:after="240"/>
        <w:rPr>
          <w:sz w:val="14"/>
          <w:szCs w:val="14"/>
        </w:rPr>
      </w:pPr>
      <w:r>
        <w:rPr>
          <w:rStyle w:val="FootnoteReference"/>
        </w:rPr>
        <w:footnoteRef/>
      </w:r>
      <w:r w:rsidRPr="00B64BE7">
        <w:rPr>
          <w:sz w:val="16"/>
          <w:szCs w:val="16"/>
          <w:lang w:val="en-US"/>
        </w:rPr>
        <w:t>Source</w:t>
      </w:r>
      <w:r>
        <w:rPr>
          <w:sz w:val="16"/>
          <w:szCs w:val="16"/>
          <w:lang w:val="en-US"/>
        </w:rPr>
        <w:t>:</w:t>
      </w:r>
      <w:r w:rsidRPr="00B64BE7">
        <w:rPr>
          <w:sz w:val="16"/>
          <w:szCs w:val="16"/>
          <w:lang w:val="en-US"/>
        </w:rPr>
        <w:t xml:space="preserve"> http://www.dsidsc.com/images/ph-me-asset-management-life-cycle.png</w:t>
      </w:r>
    </w:p>
  </w:footnote>
  <w:footnote w:id="8">
    <w:p w:rsidR="009D45DF" w:rsidRDefault="009D45DF" w:rsidP="00D02973">
      <w:pPr>
        <w:pStyle w:val="FootnoteText"/>
      </w:pPr>
      <w:r>
        <w:rPr>
          <w:rStyle w:val="FootnoteReference"/>
        </w:rPr>
        <w:footnoteRef/>
      </w:r>
      <w:r>
        <w:t xml:space="preserve"> DOC/12/56629</w:t>
      </w:r>
    </w:p>
  </w:footnote>
  <w:footnote w:id="9">
    <w:p w:rsidR="009D45DF" w:rsidRPr="00F21579" w:rsidRDefault="009D45DF" w:rsidP="00D02973">
      <w:pPr>
        <w:pStyle w:val="FootnoteText"/>
        <w:rPr>
          <w:sz w:val="16"/>
          <w:szCs w:val="16"/>
        </w:rPr>
      </w:pPr>
      <w:r w:rsidRPr="00F21579">
        <w:rPr>
          <w:rStyle w:val="FootnoteReference"/>
          <w:sz w:val="16"/>
          <w:szCs w:val="16"/>
        </w:rPr>
        <w:footnoteRef/>
      </w:r>
      <w:r w:rsidRPr="00F21579">
        <w:rPr>
          <w:sz w:val="16"/>
          <w:szCs w:val="16"/>
        </w:rPr>
        <w:t xml:space="preserve"> Data from Moloney Model (DOC/16/53719)</w:t>
      </w:r>
    </w:p>
  </w:footnote>
  <w:footnote w:id="10">
    <w:p w:rsidR="009D45DF" w:rsidRPr="00B5197F" w:rsidRDefault="009D45DF" w:rsidP="00D02973">
      <w:pPr>
        <w:pStyle w:val="FootnoteText"/>
        <w:rPr>
          <w:sz w:val="16"/>
          <w:szCs w:val="16"/>
        </w:rPr>
      </w:pPr>
      <w:r w:rsidRPr="00B5197F">
        <w:rPr>
          <w:rStyle w:val="FootnoteReference"/>
          <w:sz w:val="16"/>
          <w:szCs w:val="16"/>
        </w:rPr>
        <w:footnoteRef/>
      </w:r>
      <w:r w:rsidRPr="00B5197F">
        <w:rPr>
          <w:sz w:val="16"/>
          <w:szCs w:val="16"/>
        </w:rPr>
        <w:t xml:space="preserve"> http://www.bayside.vic.gov.au/about_the_Council/500k_upgrades_at_Cheltenham_Park.htm</w:t>
      </w:r>
    </w:p>
  </w:footnote>
  <w:footnote w:id="11">
    <w:p w:rsidR="009D45DF" w:rsidRDefault="009D45DF" w:rsidP="00D02973">
      <w:pPr>
        <w:pStyle w:val="FootnoteText"/>
      </w:pPr>
      <w:r>
        <w:rPr>
          <w:rStyle w:val="FootnoteReference"/>
        </w:rPr>
        <w:footnoteRef/>
      </w:r>
      <w:r>
        <w:t xml:space="preserve"> Figures from Power Budget Report DOC/16/12952, 2014-15 Actuals &amp; 2015/16 Adjusted Budget - Capital &amp; Operating - Info for Asset Management. Does not include ESOS budget.</w:t>
      </w:r>
    </w:p>
  </w:footnote>
  <w:footnote w:id="12">
    <w:p w:rsidR="009D45DF" w:rsidRDefault="009D45DF" w:rsidP="00D02973">
      <w:pPr>
        <w:pStyle w:val="FootnoteText"/>
      </w:pPr>
      <w:r>
        <w:rPr>
          <w:rStyle w:val="FootnoteReference"/>
        </w:rPr>
        <w:footnoteRef/>
      </w:r>
      <w:r>
        <w:t xml:space="preserve"> Bayside financial records</w:t>
      </w:r>
    </w:p>
  </w:footnote>
  <w:footnote w:id="13">
    <w:p w:rsidR="009D45DF" w:rsidRDefault="009D45DF" w:rsidP="00D02973">
      <w:pPr>
        <w:pStyle w:val="FootnoteText"/>
      </w:pPr>
      <w:r>
        <w:rPr>
          <w:rStyle w:val="FootnoteReference"/>
        </w:rPr>
        <w:footnoteRef/>
      </w:r>
      <w:r>
        <w:t xml:space="preserve"> </w:t>
      </w:r>
      <w:r w:rsidRPr="004F1755">
        <w:t>Data source is file: Asset Gr</w:t>
      </w:r>
      <w:r>
        <w:t>aphs, Recreation Group, DOC/16/53719</w:t>
      </w:r>
    </w:p>
  </w:footnote>
  <w:footnote w:id="14">
    <w:p w:rsidR="009D45DF" w:rsidRDefault="009D45DF" w:rsidP="00D02973">
      <w:pPr>
        <w:pStyle w:val="FootnoteText"/>
      </w:pPr>
      <w:r>
        <w:rPr>
          <w:rStyle w:val="FootnoteReference"/>
        </w:rPr>
        <w:footnoteRef/>
      </w:r>
      <w:r>
        <w:t xml:space="preserve"> </w:t>
      </w:r>
      <w:r w:rsidRPr="004F1755">
        <w:t>Data source is file: Asset Gr</w:t>
      </w:r>
      <w:r>
        <w:t>aphs, Recreation Group, Graph 4 DOC/16/53719</w:t>
      </w:r>
    </w:p>
  </w:footnote>
  <w:footnote w:id="15">
    <w:p w:rsidR="009D45DF" w:rsidRDefault="009D45DF" w:rsidP="00D02973">
      <w:pPr>
        <w:pStyle w:val="FootnoteText"/>
      </w:pPr>
      <w:r>
        <w:rPr>
          <w:rStyle w:val="FootnoteReference"/>
        </w:rPr>
        <w:footnoteRef/>
      </w:r>
      <w:r>
        <w:t xml:space="preserve"> </w:t>
      </w:r>
      <w:r w:rsidRPr="004F1755">
        <w:t>Data source is file: Asset Gr</w:t>
      </w:r>
      <w:r>
        <w:t>aphs, Open Space Group, DOC/16/53719</w:t>
      </w:r>
    </w:p>
  </w:footnote>
  <w:footnote w:id="16">
    <w:p w:rsidR="009D45DF" w:rsidRPr="00A803EA" w:rsidRDefault="009D45DF" w:rsidP="00D02973">
      <w:pPr>
        <w:pStyle w:val="FootnoteText"/>
        <w:rPr>
          <w:sz w:val="16"/>
          <w:szCs w:val="16"/>
        </w:rPr>
      </w:pPr>
      <w:r w:rsidRPr="00A803EA">
        <w:rPr>
          <w:rStyle w:val="FootnoteReference"/>
          <w:sz w:val="16"/>
          <w:szCs w:val="16"/>
        </w:rPr>
        <w:footnoteRef/>
      </w:r>
      <w:r w:rsidRPr="00A803EA">
        <w:rPr>
          <w:sz w:val="16"/>
          <w:szCs w:val="16"/>
        </w:rPr>
        <w:t xml:space="preserve"> Local Government Community Satisfaction Survey 2015 (Bayside), DOC/15/91073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5DF" w:rsidRDefault="009A42EB" w:rsidP="005101EC">
    <w:pPr>
      <w:pStyle w:val="Header"/>
      <w:ind w:left="-1418"/>
    </w:pPr>
    <w:r>
      <w:rPr>
        <w:noProof/>
        <w:lang w:eastAsia="en-AU"/>
      </w:rPr>
      <w:drawing>
        <wp:inline distT="0" distB="0" distL="0" distR="0" wp14:anchorId="69AC51EC">
          <wp:extent cx="7821295" cy="73152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1295" cy="731520"/>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5DF" w:rsidRDefault="009D45D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5DF" w:rsidRDefault="009D45D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5DF" w:rsidRDefault="009D45D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2EB" w:rsidRDefault="009A42EB" w:rsidP="005101EC">
    <w:pPr>
      <w:pStyle w:val="Header"/>
      <w:ind w:left="-1418"/>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5DF" w:rsidRDefault="009D45D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5DF" w:rsidRDefault="009D45D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0039E"/>
    <w:multiLevelType w:val="multilevel"/>
    <w:tmpl w:val="9A3EEC3C"/>
    <w:lvl w:ilvl="0">
      <w:start w:val="1"/>
      <w:numFmt w:val="decimal"/>
      <w:pStyle w:val="Style3"/>
      <w:lvlText w:val="%1."/>
      <w:lvlJc w:val="left"/>
      <w:pPr>
        <w:tabs>
          <w:tab w:val="num" w:pos="705"/>
        </w:tabs>
        <w:ind w:left="705" w:hanging="705"/>
      </w:pPr>
      <w:rPr>
        <w:rFonts w:cs="Times New Roman" w:hint="default"/>
        <w:u w:val="none"/>
      </w:rPr>
    </w:lvl>
    <w:lvl w:ilvl="1">
      <w:start w:val="3"/>
      <w:numFmt w:val="decimal"/>
      <w:isLgl/>
      <w:lvlText w:val="%1.1"/>
      <w:lvlJc w:val="left"/>
      <w:pPr>
        <w:tabs>
          <w:tab w:val="num" w:pos="1429"/>
        </w:tabs>
        <w:ind w:left="1429" w:hanging="720"/>
      </w:pPr>
      <w:rPr>
        <w:rFonts w:cs="Times New Roman" w:hint="default"/>
      </w:rPr>
    </w:lvl>
    <w:lvl w:ilvl="2">
      <w:start w:val="1"/>
      <w:numFmt w:val="decimal"/>
      <w:isLgl/>
      <w:lvlText w:val="%1.2.%3"/>
      <w:lvlJc w:val="left"/>
      <w:pPr>
        <w:tabs>
          <w:tab w:val="num" w:pos="2138"/>
        </w:tabs>
        <w:ind w:left="2138" w:hanging="720"/>
      </w:pPr>
      <w:rPr>
        <w:rFonts w:cs="Times New Roman" w:hint="default"/>
      </w:rPr>
    </w:lvl>
    <w:lvl w:ilvl="3">
      <w:start w:val="1"/>
      <w:numFmt w:val="decimal"/>
      <w:isLgl/>
      <w:lvlText w:val="%1.%2.%3.%4"/>
      <w:lvlJc w:val="left"/>
      <w:pPr>
        <w:tabs>
          <w:tab w:val="num" w:pos="2847"/>
        </w:tabs>
        <w:ind w:left="2847" w:hanging="720"/>
      </w:pPr>
      <w:rPr>
        <w:rFonts w:cs="Times New Roman" w:hint="default"/>
      </w:rPr>
    </w:lvl>
    <w:lvl w:ilvl="4">
      <w:start w:val="1"/>
      <w:numFmt w:val="decimal"/>
      <w:isLgl/>
      <w:lvlText w:val="%1.%2.%3.%4.%5"/>
      <w:lvlJc w:val="left"/>
      <w:pPr>
        <w:tabs>
          <w:tab w:val="num" w:pos="3916"/>
        </w:tabs>
        <w:ind w:left="3916" w:hanging="1080"/>
      </w:pPr>
      <w:rPr>
        <w:rFonts w:cs="Times New Roman" w:hint="default"/>
      </w:rPr>
    </w:lvl>
    <w:lvl w:ilvl="5">
      <w:start w:val="1"/>
      <w:numFmt w:val="decimal"/>
      <w:isLgl/>
      <w:lvlText w:val="%1.%2.%3.%4.%5.%6"/>
      <w:lvlJc w:val="left"/>
      <w:pPr>
        <w:tabs>
          <w:tab w:val="num" w:pos="4625"/>
        </w:tabs>
        <w:ind w:left="4625" w:hanging="1080"/>
      </w:pPr>
      <w:rPr>
        <w:rFonts w:cs="Times New Roman" w:hint="default"/>
      </w:rPr>
    </w:lvl>
    <w:lvl w:ilvl="6">
      <w:start w:val="1"/>
      <w:numFmt w:val="decimal"/>
      <w:isLgl/>
      <w:lvlText w:val="%1.%2.%3.%4.%5.%6.%7"/>
      <w:lvlJc w:val="left"/>
      <w:pPr>
        <w:tabs>
          <w:tab w:val="num" w:pos="5694"/>
        </w:tabs>
        <w:ind w:left="5694" w:hanging="1440"/>
      </w:pPr>
      <w:rPr>
        <w:rFonts w:cs="Times New Roman" w:hint="default"/>
      </w:rPr>
    </w:lvl>
    <w:lvl w:ilvl="7">
      <w:start w:val="1"/>
      <w:numFmt w:val="decimal"/>
      <w:isLgl/>
      <w:lvlText w:val="%1.%2.%3.%4.%5.%6.%7.%8"/>
      <w:lvlJc w:val="left"/>
      <w:pPr>
        <w:tabs>
          <w:tab w:val="num" w:pos="6403"/>
        </w:tabs>
        <w:ind w:left="6403" w:hanging="1440"/>
      </w:pPr>
      <w:rPr>
        <w:rFonts w:cs="Times New Roman" w:hint="default"/>
      </w:rPr>
    </w:lvl>
    <w:lvl w:ilvl="8">
      <w:start w:val="1"/>
      <w:numFmt w:val="decimal"/>
      <w:isLgl/>
      <w:lvlText w:val="%1.%2.%3.%4.%5.%6.%7.%8.%9"/>
      <w:lvlJc w:val="left"/>
      <w:pPr>
        <w:tabs>
          <w:tab w:val="num" w:pos="7472"/>
        </w:tabs>
        <w:ind w:left="7472" w:hanging="1800"/>
      </w:pPr>
      <w:rPr>
        <w:rFonts w:cs="Times New Roman" w:hint="default"/>
      </w:rPr>
    </w:lvl>
  </w:abstractNum>
  <w:abstractNum w:abstractNumId="1">
    <w:nsid w:val="06604F9D"/>
    <w:multiLevelType w:val="hybridMultilevel"/>
    <w:tmpl w:val="0C021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6D25DB6"/>
    <w:multiLevelType w:val="hybridMultilevel"/>
    <w:tmpl w:val="C2142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BC64EBB"/>
    <w:multiLevelType w:val="multilevel"/>
    <w:tmpl w:val="ABDA7EE0"/>
    <w:lvl w:ilvl="0">
      <w:start w:val="1"/>
      <w:numFmt w:val="decimal"/>
      <w:pStyle w:val="NumberList1"/>
      <w:lvlText w:val="%1."/>
      <w:lvlJc w:val="left"/>
      <w:pPr>
        <w:tabs>
          <w:tab w:val="num" w:pos="567"/>
        </w:tabs>
        <w:ind w:left="567" w:hanging="567"/>
      </w:pPr>
      <w:rPr>
        <w:rFonts w:hint="default"/>
        <w:b w:val="0"/>
        <w:i w:val="0"/>
        <w:sz w:val="20"/>
        <w:szCs w:val="20"/>
      </w:rPr>
    </w:lvl>
    <w:lvl w:ilvl="1">
      <w:start w:val="1"/>
      <w:numFmt w:val="decimal"/>
      <w:lvlText w:val="%1.%2"/>
      <w:lvlJc w:val="left"/>
      <w:pPr>
        <w:tabs>
          <w:tab w:val="num" w:pos="567"/>
        </w:tabs>
        <w:ind w:left="567" w:hanging="567"/>
      </w:pPr>
      <w:rPr>
        <w:rFonts w:hint="default"/>
        <w:i w:val="0"/>
        <w:sz w:val="24"/>
        <w:szCs w:val="24"/>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4536"/>
        </w:tabs>
        <w:ind w:left="4536" w:hanging="567"/>
      </w:pPr>
      <w:rPr>
        <w:rFonts w:hint="default"/>
      </w:rPr>
    </w:lvl>
    <w:lvl w:ilvl="4">
      <w:start w:val="1"/>
      <w:numFmt w:val="decimal"/>
      <w:lvlText w:val="%1.%2.%3.%4.%5"/>
      <w:lvlJc w:val="left"/>
      <w:pPr>
        <w:tabs>
          <w:tab w:val="num" w:pos="3276"/>
        </w:tabs>
        <w:ind w:left="3276" w:hanging="1008"/>
      </w:pPr>
      <w:rPr>
        <w:rFonts w:hint="default"/>
      </w:rPr>
    </w:lvl>
    <w:lvl w:ilvl="5">
      <w:start w:val="1"/>
      <w:numFmt w:val="decimal"/>
      <w:lvlText w:val="%1.%2.%3.%4.%5.%6"/>
      <w:lvlJc w:val="left"/>
      <w:pPr>
        <w:tabs>
          <w:tab w:val="num" w:pos="3420"/>
        </w:tabs>
        <w:ind w:left="3420" w:hanging="1152"/>
      </w:pPr>
      <w:rPr>
        <w:rFonts w:hint="default"/>
      </w:rPr>
    </w:lvl>
    <w:lvl w:ilvl="6">
      <w:start w:val="1"/>
      <w:numFmt w:val="decimal"/>
      <w:lvlText w:val="%1.%2.%3.%4.%5.%6.%7"/>
      <w:lvlJc w:val="left"/>
      <w:pPr>
        <w:tabs>
          <w:tab w:val="num" w:pos="3564"/>
        </w:tabs>
        <w:ind w:left="3564" w:hanging="1296"/>
      </w:pPr>
      <w:rPr>
        <w:rFonts w:hint="default"/>
      </w:rPr>
    </w:lvl>
    <w:lvl w:ilvl="7">
      <w:start w:val="1"/>
      <w:numFmt w:val="decimal"/>
      <w:lvlText w:val="%1.%2.%3.%4.%5.%6.%7.%8"/>
      <w:lvlJc w:val="left"/>
      <w:pPr>
        <w:tabs>
          <w:tab w:val="num" w:pos="3708"/>
        </w:tabs>
        <w:ind w:left="3708" w:hanging="1440"/>
      </w:pPr>
      <w:rPr>
        <w:rFonts w:hint="default"/>
      </w:rPr>
    </w:lvl>
    <w:lvl w:ilvl="8">
      <w:start w:val="1"/>
      <w:numFmt w:val="decimal"/>
      <w:lvlText w:val="%1.%2.%3.%4.%5.%6.%7.%8.%9"/>
      <w:lvlJc w:val="left"/>
      <w:pPr>
        <w:tabs>
          <w:tab w:val="num" w:pos="3852"/>
        </w:tabs>
        <w:ind w:left="3852" w:hanging="1584"/>
      </w:pPr>
      <w:rPr>
        <w:rFonts w:hint="default"/>
      </w:rPr>
    </w:lvl>
  </w:abstractNum>
  <w:abstractNum w:abstractNumId="4">
    <w:nsid w:val="10F82A07"/>
    <w:multiLevelType w:val="singleLevel"/>
    <w:tmpl w:val="0C09000F"/>
    <w:lvl w:ilvl="0">
      <w:start w:val="1"/>
      <w:numFmt w:val="decimal"/>
      <w:lvlText w:val="%1."/>
      <w:lvlJc w:val="left"/>
      <w:pPr>
        <w:tabs>
          <w:tab w:val="num" w:pos="360"/>
        </w:tabs>
        <w:ind w:left="360" w:hanging="360"/>
      </w:pPr>
    </w:lvl>
  </w:abstractNum>
  <w:abstractNum w:abstractNumId="5">
    <w:nsid w:val="121909AA"/>
    <w:multiLevelType w:val="hybridMultilevel"/>
    <w:tmpl w:val="E7D46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46F17C3"/>
    <w:multiLevelType w:val="hybridMultilevel"/>
    <w:tmpl w:val="406250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76B088A"/>
    <w:multiLevelType w:val="hybridMultilevel"/>
    <w:tmpl w:val="F914412E"/>
    <w:lvl w:ilvl="0" w:tplc="09406062">
      <w:start w:val="1"/>
      <w:numFmt w:val="bullet"/>
      <w:lvlText w:val=""/>
      <w:lvlJc w:val="left"/>
      <w:pPr>
        <w:ind w:left="720" w:hanging="360"/>
      </w:pPr>
      <w:rPr>
        <w:rFonts w:ascii="Symbol" w:eastAsiaTheme="minorHAnsi"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BCA5237"/>
    <w:multiLevelType w:val="multilevel"/>
    <w:tmpl w:val="09A2DD1C"/>
    <w:lvl w:ilvl="0">
      <w:start w:val="1"/>
      <w:numFmt w:val="decimal"/>
      <w:lvlText w:val="%1."/>
      <w:lvlJc w:val="left"/>
      <w:pPr>
        <w:tabs>
          <w:tab w:val="num" w:pos="910"/>
        </w:tabs>
        <w:ind w:left="910" w:hanging="360"/>
      </w:pPr>
      <w:rPr>
        <w:rFonts w:hint="default"/>
      </w:rPr>
    </w:lvl>
    <w:lvl w:ilvl="1">
      <w:start w:val="1"/>
      <w:numFmt w:val="decimal"/>
      <w:pStyle w:val="HeadingA2"/>
      <w:lvlText w:val="%1.%2."/>
      <w:lvlJc w:val="left"/>
      <w:pPr>
        <w:tabs>
          <w:tab w:val="num" w:pos="1342"/>
        </w:tabs>
        <w:ind w:left="1342" w:hanging="432"/>
      </w:pPr>
      <w:rPr>
        <w:rFonts w:hint="default"/>
      </w:rPr>
    </w:lvl>
    <w:lvl w:ilvl="2">
      <w:start w:val="1"/>
      <w:numFmt w:val="decimal"/>
      <w:lvlText w:val="%1.%2.%3."/>
      <w:lvlJc w:val="left"/>
      <w:pPr>
        <w:tabs>
          <w:tab w:val="num" w:pos="1990"/>
        </w:tabs>
        <w:ind w:left="1774" w:hanging="504"/>
      </w:pPr>
      <w:rPr>
        <w:rFonts w:hint="default"/>
      </w:rPr>
    </w:lvl>
    <w:lvl w:ilvl="3">
      <w:start w:val="1"/>
      <w:numFmt w:val="decimal"/>
      <w:lvlText w:val="%1.%2.%3.%4."/>
      <w:lvlJc w:val="left"/>
      <w:pPr>
        <w:tabs>
          <w:tab w:val="num" w:pos="2710"/>
        </w:tabs>
        <w:ind w:left="2278" w:hanging="648"/>
      </w:pPr>
      <w:rPr>
        <w:rFonts w:hint="default"/>
      </w:rPr>
    </w:lvl>
    <w:lvl w:ilvl="4">
      <w:start w:val="1"/>
      <w:numFmt w:val="decimal"/>
      <w:lvlText w:val="%1.%2.%3.%4.%5."/>
      <w:lvlJc w:val="left"/>
      <w:pPr>
        <w:tabs>
          <w:tab w:val="num" w:pos="3070"/>
        </w:tabs>
        <w:ind w:left="2782" w:hanging="792"/>
      </w:pPr>
      <w:rPr>
        <w:rFonts w:hint="default"/>
      </w:rPr>
    </w:lvl>
    <w:lvl w:ilvl="5">
      <w:start w:val="1"/>
      <w:numFmt w:val="decimal"/>
      <w:lvlText w:val="%1.%2.%3.%4.%5.%6."/>
      <w:lvlJc w:val="left"/>
      <w:pPr>
        <w:tabs>
          <w:tab w:val="num" w:pos="3790"/>
        </w:tabs>
        <w:ind w:left="3286" w:hanging="936"/>
      </w:pPr>
      <w:rPr>
        <w:rFonts w:hint="default"/>
      </w:rPr>
    </w:lvl>
    <w:lvl w:ilvl="6">
      <w:start w:val="1"/>
      <w:numFmt w:val="decimal"/>
      <w:lvlText w:val="%1.%2.%3.%4.%5.%6.%7."/>
      <w:lvlJc w:val="left"/>
      <w:pPr>
        <w:tabs>
          <w:tab w:val="num" w:pos="4150"/>
        </w:tabs>
        <w:ind w:left="3790" w:hanging="1080"/>
      </w:pPr>
      <w:rPr>
        <w:rFonts w:hint="default"/>
      </w:rPr>
    </w:lvl>
    <w:lvl w:ilvl="7">
      <w:start w:val="1"/>
      <w:numFmt w:val="decimal"/>
      <w:lvlText w:val="%1.%2.%3.%4.%5.%6.%7.%8."/>
      <w:lvlJc w:val="left"/>
      <w:pPr>
        <w:tabs>
          <w:tab w:val="num" w:pos="4870"/>
        </w:tabs>
        <w:ind w:left="4294" w:hanging="1224"/>
      </w:pPr>
      <w:rPr>
        <w:rFonts w:hint="default"/>
      </w:rPr>
    </w:lvl>
    <w:lvl w:ilvl="8">
      <w:start w:val="1"/>
      <w:numFmt w:val="decimal"/>
      <w:lvlText w:val="%1.%2.%3.%4.%5.%6.%7.%8.%9."/>
      <w:lvlJc w:val="left"/>
      <w:pPr>
        <w:tabs>
          <w:tab w:val="num" w:pos="5230"/>
        </w:tabs>
        <w:ind w:left="4870" w:hanging="1440"/>
      </w:pPr>
      <w:rPr>
        <w:rFonts w:hint="default"/>
      </w:rPr>
    </w:lvl>
  </w:abstractNum>
  <w:abstractNum w:abstractNumId="9">
    <w:nsid w:val="20E539DD"/>
    <w:multiLevelType w:val="hybridMultilevel"/>
    <w:tmpl w:val="EF506BA8"/>
    <w:lvl w:ilvl="0" w:tplc="B7246696">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nsid w:val="217C40E1"/>
    <w:multiLevelType w:val="hybridMultilevel"/>
    <w:tmpl w:val="47666A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64A2EB6"/>
    <w:multiLevelType w:val="hybridMultilevel"/>
    <w:tmpl w:val="E774DB30"/>
    <w:lvl w:ilvl="0" w:tplc="CFDEFA1C">
      <w:start w:val="1"/>
      <w:numFmt w:val="bullet"/>
      <w:pStyle w:val="Bullet3"/>
      <w:lvlText w:val=""/>
      <w:lvlJc w:val="left"/>
      <w:pPr>
        <w:tabs>
          <w:tab w:val="num" w:pos="2835"/>
        </w:tabs>
        <w:ind w:left="2835" w:hanging="567"/>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2">
    <w:nsid w:val="275E716B"/>
    <w:multiLevelType w:val="hybridMultilevel"/>
    <w:tmpl w:val="B4C20DB4"/>
    <w:lvl w:ilvl="0" w:tplc="10701376">
      <w:start w:val="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9931D2D"/>
    <w:multiLevelType w:val="hybridMultilevel"/>
    <w:tmpl w:val="DF508CF4"/>
    <w:lvl w:ilvl="0" w:tplc="CF06C186">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9A0262B"/>
    <w:multiLevelType w:val="hybridMultilevel"/>
    <w:tmpl w:val="F7EE0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E9C6210"/>
    <w:multiLevelType w:val="hybridMultilevel"/>
    <w:tmpl w:val="63E6CA7C"/>
    <w:lvl w:ilvl="0" w:tplc="365E21FC">
      <w:start w:val="1"/>
      <w:numFmt w:val="bullet"/>
      <w:pStyle w:val="Bullet1"/>
      <w:lvlText w:val=""/>
      <w:lvlJc w:val="left"/>
      <w:pPr>
        <w:tabs>
          <w:tab w:val="num" w:pos="1134"/>
        </w:tabs>
        <w:ind w:left="1134" w:hanging="567"/>
      </w:pPr>
      <w:rPr>
        <w:rFonts w:ascii="Symbol" w:hAnsi="Symbol" w:hint="default"/>
      </w:rPr>
    </w:lvl>
    <w:lvl w:ilvl="1" w:tplc="3222970E"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F8542E0"/>
    <w:multiLevelType w:val="hybridMultilevel"/>
    <w:tmpl w:val="81842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FA57D53"/>
    <w:multiLevelType w:val="hybridMultilevel"/>
    <w:tmpl w:val="659EE3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32CA30F8"/>
    <w:multiLevelType w:val="hybridMultilevel"/>
    <w:tmpl w:val="406250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37225B77"/>
    <w:multiLevelType w:val="hybridMultilevel"/>
    <w:tmpl w:val="3668B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AEF2098"/>
    <w:multiLevelType w:val="singleLevel"/>
    <w:tmpl w:val="6D7466EA"/>
    <w:lvl w:ilvl="0">
      <w:start w:val="1"/>
      <w:numFmt w:val="bullet"/>
      <w:pStyle w:val="Style9"/>
      <w:lvlText w:val=""/>
      <w:lvlJc w:val="left"/>
      <w:pPr>
        <w:tabs>
          <w:tab w:val="num" w:pos="567"/>
        </w:tabs>
        <w:ind w:left="567" w:hanging="567"/>
      </w:pPr>
      <w:rPr>
        <w:rFonts w:ascii="Symbol" w:hAnsi="Symbol" w:hint="default"/>
      </w:rPr>
    </w:lvl>
  </w:abstractNum>
  <w:abstractNum w:abstractNumId="21">
    <w:nsid w:val="3C5C65D0"/>
    <w:multiLevelType w:val="hybridMultilevel"/>
    <w:tmpl w:val="2D28BDDA"/>
    <w:lvl w:ilvl="0" w:tplc="E1609CB6">
      <w:start w:val="1"/>
      <w:numFmt w:val="decimal"/>
      <w:pStyle w:val="Heading2A"/>
      <w:lvlText w:val="%1."/>
      <w:lvlJc w:val="left"/>
      <w:pPr>
        <w:tabs>
          <w:tab w:val="num" w:pos="360"/>
        </w:tabs>
        <w:ind w:left="360" w:hanging="360"/>
      </w:pPr>
      <w:rPr>
        <w:rFonts w:cs="Times New Roman" w:hint="default"/>
        <w:b/>
        <w:i w:val="0"/>
        <w:sz w:val="32"/>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2">
    <w:nsid w:val="41E002C3"/>
    <w:multiLevelType w:val="hybridMultilevel"/>
    <w:tmpl w:val="300205E6"/>
    <w:lvl w:ilvl="0" w:tplc="0C090017">
      <w:start w:val="1"/>
      <w:numFmt w:val="lowerLetter"/>
      <w:lvlText w:val="%1)"/>
      <w:lvlJc w:val="left"/>
      <w:pPr>
        <w:ind w:left="720" w:hanging="360"/>
      </w:pPr>
      <w:rPr>
        <w:rFonts w:hint="default"/>
        <w:b w:val="0"/>
        <w:i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25904A8"/>
    <w:multiLevelType w:val="hybridMultilevel"/>
    <w:tmpl w:val="B3B839A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43710382"/>
    <w:multiLevelType w:val="hybridMultilevel"/>
    <w:tmpl w:val="88C20766"/>
    <w:lvl w:ilvl="0" w:tplc="FFFFFFFF">
      <w:start w:val="1"/>
      <w:numFmt w:val="bullet"/>
      <w:pStyle w:val="bullet10"/>
      <w:lvlText w:val=""/>
      <w:lvlJc w:val="left"/>
      <w:pPr>
        <w:tabs>
          <w:tab w:val="num" w:pos="984"/>
        </w:tabs>
        <w:ind w:left="964" w:hanging="340"/>
      </w:pPr>
      <w:rPr>
        <w:rFonts w:ascii="Wingdings" w:hAnsi="Wingdings" w:hint="default"/>
      </w:rPr>
    </w:lvl>
    <w:lvl w:ilvl="1" w:tplc="FFFFFFFF">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25">
    <w:nsid w:val="441B7CF1"/>
    <w:multiLevelType w:val="singleLevel"/>
    <w:tmpl w:val="021896BA"/>
    <w:lvl w:ilvl="0">
      <w:start w:val="1"/>
      <w:numFmt w:val="lowerLetter"/>
      <w:pStyle w:val="Bullet4"/>
      <w:lvlText w:val="%1)"/>
      <w:lvlJc w:val="left"/>
      <w:pPr>
        <w:tabs>
          <w:tab w:val="num" w:pos="1527"/>
        </w:tabs>
        <w:ind w:left="1527" w:hanging="450"/>
      </w:pPr>
      <w:rPr>
        <w:rFonts w:hint="default"/>
      </w:rPr>
    </w:lvl>
  </w:abstractNum>
  <w:abstractNum w:abstractNumId="26">
    <w:nsid w:val="445E16FD"/>
    <w:multiLevelType w:val="multilevel"/>
    <w:tmpl w:val="DD188DD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4A962609"/>
    <w:multiLevelType w:val="hybridMultilevel"/>
    <w:tmpl w:val="60144CE4"/>
    <w:lvl w:ilvl="0" w:tplc="0C09000F">
      <w:start w:val="1"/>
      <w:numFmt w:val="decimal"/>
      <w:lvlText w:val="%1."/>
      <w:lvlJc w:val="left"/>
      <w:pPr>
        <w:ind w:left="720" w:hanging="360"/>
      </w:pPr>
      <w:rPr>
        <w:rFonts w:hint="default"/>
      </w:rPr>
    </w:lvl>
    <w:lvl w:ilvl="1" w:tplc="51A214D0">
      <w:numFmt w:val="bullet"/>
      <w:lvlText w:val="•"/>
      <w:lvlJc w:val="left"/>
      <w:pPr>
        <w:ind w:left="1800" w:hanging="720"/>
      </w:pPr>
      <w:rPr>
        <w:rFonts w:ascii="Arial Narrow" w:eastAsiaTheme="minorHAnsi" w:hAnsi="Arial Narrow"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B0B30A2"/>
    <w:multiLevelType w:val="hybridMultilevel"/>
    <w:tmpl w:val="D2DAA7EE"/>
    <w:lvl w:ilvl="0" w:tplc="10701376">
      <w:start w:val="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DB149DB"/>
    <w:multiLevelType w:val="hybridMultilevel"/>
    <w:tmpl w:val="A95485D8"/>
    <w:lvl w:ilvl="0" w:tplc="10701376">
      <w:start w:val="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E612DFA"/>
    <w:multiLevelType w:val="hybridMultilevel"/>
    <w:tmpl w:val="FB7A2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F6404BA"/>
    <w:multiLevelType w:val="hybridMultilevel"/>
    <w:tmpl w:val="FED00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0A45F84"/>
    <w:multiLevelType w:val="hybridMultilevel"/>
    <w:tmpl w:val="82A0CF4C"/>
    <w:lvl w:ilvl="0" w:tplc="0C090001">
      <w:start w:val="1"/>
      <w:numFmt w:val="decimal"/>
      <w:pStyle w:val="TableHeading"/>
      <w:lvlText w:val="Table %1.0"/>
      <w:lvlJc w:val="left"/>
      <w:pPr>
        <w:ind w:left="720" w:hanging="360"/>
      </w:pPr>
      <w:rPr>
        <w:rFonts w:cs="Times New Roman" w:hint="default"/>
      </w:rPr>
    </w:lvl>
    <w:lvl w:ilvl="1" w:tplc="0C090003">
      <w:start w:val="1"/>
      <w:numFmt w:val="lowerLetter"/>
      <w:lvlText w:val="%2."/>
      <w:lvlJc w:val="left"/>
      <w:pPr>
        <w:ind w:left="1440" w:hanging="360"/>
      </w:pPr>
      <w:rPr>
        <w:rFonts w:cs="Times New Roman"/>
      </w:rPr>
    </w:lvl>
    <w:lvl w:ilvl="2" w:tplc="0C090005" w:tentative="1">
      <w:start w:val="1"/>
      <w:numFmt w:val="lowerRoman"/>
      <w:lvlText w:val="%3."/>
      <w:lvlJc w:val="right"/>
      <w:pPr>
        <w:ind w:left="2160" w:hanging="180"/>
      </w:pPr>
      <w:rPr>
        <w:rFonts w:cs="Times New Roman"/>
      </w:rPr>
    </w:lvl>
    <w:lvl w:ilvl="3" w:tplc="0C090001" w:tentative="1">
      <w:start w:val="1"/>
      <w:numFmt w:val="decimal"/>
      <w:lvlText w:val="%4."/>
      <w:lvlJc w:val="left"/>
      <w:pPr>
        <w:ind w:left="2880" w:hanging="360"/>
      </w:pPr>
      <w:rPr>
        <w:rFonts w:cs="Times New Roman"/>
      </w:rPr>
    </w:lvl>
    <w:lvl w:ilvl="4" w:tplc="0C090003" w:tentative="1">
      <w:start w:val="1"/>
      <w:numFmt w:val="lowerLetter"/>
      <w:lvlText w:val="%5."/>
      <w:lvlJc w:val="left"/>
      <w:pPr>
        <w:ind w:left="3600" w:hanging="360"/>
      </w:pPr>
      <w:rPr>
        <w:rFonts w:cs="Times New Roman"/>
      </w:rPr>
    </w:lvl>
    <w:lvl w:ilvl="5" w:tplc="0C090005" w:tentative="1">
      <w:start w:val="1"/>
      <w:numFmt w:val="lowerRoman"/>
      <w:lvlText w:val="%6."/>
      <w:lvlJc w:val="right"/>
      <w:pPr>
        <w:ind w:left="4320" w:hanging="180"/>
      </w:pPr>
      <w:rPr>
        <w:rFonts w:cs="Times New Roman"/>
      </w:rPr>
    </w:lvl>
    <w:lvl w:ilvl="6" w:tplc="0C090001" w:tentative="1">
      <w:start w:val="1"/>
      <w:numFmt w:val="decimal"/>
      <w:lvlText w:val="%7."/>
      <w:lvlJc w:val="left"/>
      <w:pPr>
        <w:ind w:left="5040" w:hanging="360"/>
      </w:pPr>
      <w:rPr>
        <w:rFonts w:cs="Times New Roman"/>
      </w:rPr>
    </w:lvl>
    <w:lvl w:ilvl="7" w:tplc="0C090003" w:tentative="1">
      <w:start w:val="1"/>
      <w:numFmt w:val="lowerLetter"/>
      <w:lvlText w:val="%8."/>
      <w:lvlJc w:val="left"/>
      <w:pPr>
        <w:ind w:left="5760" w:hanging="360"/>
      </w:pPr>
      <w:rPr>
        <w:rFonts w:cs="Times New Roman"/>
      </w:rPr>
    </w:lvl>
    <w:lvl w:ilvl="8" w:tplc="0C090005" w:tentative="1">
      <w:start w:val="1"/>
      <w:numFmt w:val="lowerRoman"/>
      <w:lvlText w:val="%9."/>
      <w:lvlJc w:val="right"/>
      <w:pPr>
        <w:ind w:left="6480" w:hanging="180"/>
      </w:pPr>
      <w:rPr>
        <w:rFonts w:cs="Times New Roman"/>
      </w:rPr>
    </w:lvl>
  </w:abstractNum>
  <w:abstractNum w:abstractNumId="33">
    <w:nsid w:val="52222FA2"/>
    <w:multiLevelType w:val="hybridMultilevel"/>
    <w:tmpl w:val="2738D1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93A5DE9"/>
    <w:multiLevelType w:val="hybridMultilevel"/>
    <w:tmpl w:val="F5426D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96F3427"/>
    <w:multiLevelType w:val="hybridMultilevel"/>
    <w:tmpl w:val="0EB216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nsid w:val="5D6A005A"/>
    <w:multiLevelType w:val="hybridMultilevel"/>
    <w:tmpl w:val="B5983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E8E294C"/>
    <w:multiLevelType w:val="hybridMultilevel"/>
    <w:tmpl w:val="1ABA9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01E2929"/>
    <w:multiLevelType w:val="hybridMultilevel"/>
    <w:tmpl w:val="9F4E0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8FA0A87"/>
    <w:multiLevelType w:val="hybridMultilevel"/>
    <w:tmpl w:val="460A4D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6BAB3AC0"/>
    <w:multiLevelType w:val="hybridMultilevel"/>
    <w:tmpl w:val="1CF2E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14A6CC9"/>
    <w:multiLevelType w:val="hybridMultilevel"/>
    <w:tmpl w:val="FA10C0FE"/>
    <w:lvl w:ilvl="0" w:tplc="10701376">
      <w:start w:val="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68B0991"/>
    <w:multiLevelType w:val="hybridMultilevel"/>
    <w:tmpl w:val="F6D4B7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A3B02DE"/>
    <w:multiLevelType w:val="hybridMultilevel"/>
    <w:tmpl w:val="57E41A62"/>
    <w:lvl w:ilvl="0" w:tplc="CF06C186">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F6E7E8C"/>
    <w:multiLevelType w:val="hybridMultilevel"/>
    <w:tmpl w:val="4EE40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FC7520B"/>
    <w:multiLevelType w:val="hybridMultilevel"/>
    <w:tmpl w:val="60BEDF3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32"/>
  </w:num>
  <w:num w:numId="2">
    <w:abstractNumId w:val="0"/>
  </w:num>
  <w:num w:numId="3">
    <w:abstractNumId w:val="15"/>
  </w:num>
  <w:num w:numId="4">
    <w:abstractNumId w:val="21"/>
  </w:num>
  <w:num w:numId="5">
    <w:abstractNumId w:val="24"/>
  </w:num>
  <w:num w:numId="6">
    <w:abstractNumId w:val="11"/>
  </w:num>
  <w:num w:numId="7">
    <w:abstractNumId w:val="8"/>
  </w:num>
  <w:num w:numId="8">
    <w:abstractNumId w:val="20"/>
  </w:num>
  <w:num w:numId="9">
    <w:abstractNumId w:val="25"/>
  </w:num>
  <w:num w:numId="10">
    <w:abstractNumId w:val="3"/>
  </w:num>
  <w:num w:numId="11">
    <w:abstractNumId w:val="1"/>
  </w:num>
  <w:num w:numId="12">
    <w:abstractNumId w:val="42"/>
  </w:num>
  <w:num w:numId="13">
    <w:abstractNumId w:val="38"/>
  </w:num>
  <w:num w:numId="14">
    <w:abstractNumId w:val="33"/>
  </w:num>
  <w:num w:numId="15">
    <w:abstractNumId w:val="31"/>
  </w:num>
  <w:num w:numId="16">
    <w:abstractNumId w:val="6"/>
  </w:num>
  <w:num w:numId="17">
    <w:abstractNumId w:val="40"/>
  </w:num>
  <w:num w:numId="18">
    <w:abstractNumId w:val="5"/>
  </w:num>
  <w:num w:numId="19">
    <w:abstractNumId w:val="2"/>
  </w:num>
  <w:num w:numId="20">
    <w:abstractNumId w:val="23"/>
  </w:num>
  <w:num w:numId="21">
    <w:abstractNumId w:val="41"/>
  </w:num>
  <w:num w:numId="22">
    <w:abstractNumId w:val="26"/>
  </w:num>
  <w:num w:numId="23">
    <w:abstractNumId w:val="27"/>
  </w:num>
  <w:num w:numId="24">
    <w:abstractNumId w:val="44"/>
  </w:num>
  <w:num w:numId="25">
    <w:abstractNumId w:val="7"/>
  </w:num>
  <w:num w:numId="26">
    <w:abstractNumId w:val="17"/>
  </w:num>
  <w:num w:numId="27">
    <w:abstractNumId w:val="14"/>
  </w:num>
  <w:num w:numId="28">
    <w:abstractNumId w:val="19"/>
  </w:num>
  <w:num w:numId="29">
    <w:abstractNumId w:val="16"/>
  </w:num>
  <w:num w:numId="30">
    <w:abstractNumId w:val="9"/>
  </w:num>
  <w:num w:numId="31">
    <w:abstractNumId w:val="30"/>
  </w:num>
  <w:num w:numId="32">
    <w:abstractNumId w:val="35"/>
  </w:num>
  <w:num w:numId="33">
    <w:abstractNumId w:val="45"/>
  </w:num>
  <w:num w:numId="34">
    <w:abstractNumId w:val="36"/>
  </w:num>
  <w:num w:numId="35">
    <w:abstractNumId w:val="22"/>
  </w:num>
  <w:num w:numId="36">
    <w:abstractNumId w:val="10"/>
  </w:num>
  <w:num w:numId="37">
    <w:abstractNumId w:val="29"/>
  </w:num>
  <w:num w:numId="38">
    <w:abstractNumId w:val="28"/>
  </w:num>
  <w:num w:numId="39">
    <w:abstractNumId w:val="12"/>
  </w:num>
  <w:num w:numId="40">
    <w:abstractNumId w:val="39"/>
  </w:num>
  <w:num w:numId="41">
    <w:abstractNumId w:val="4"/>
  </w:num>
  <w:num w:numId="42">
    <w:abstractNumId w:val="37"/>
  </w:num>
  <w:num w:numId="43">
    <w:abstractNumId w:val="13"/>
  </w:num>
  <w:num w:numId="44">
    <w:abstractNumId w:val="43"/>
  </w:num>
  <w:num w:numId="45">
    <w:abstractNumId w:val="34"/>
  </w:num>
  <w:num w:numId="46">
    <w:abstractNumId w:val="1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D13"/>
    <w:rsid w:val="00015D85"/>
    <w:rsid w:val="00021EBB"/>
    <w:rsid w:val="00037DCB"/>
    <w:rsid w:val="000702B7"/>
    <w:rsid w:val="00075A4A"/>
    <w:rsid w:val="00086041"/>
    <w:rsid w:val="00087E5A"/>
    <w:rsid w:val="0009636D"/>
    <w:rsid w:val="000A025F"/>
    <w:rsid w:val="000B0E06"/>
    <w:rsid w:val="000C7A2E"/>
    <w:rsid w:val="000D75E3"/>
    <w:rsid w:val="000F3D98"/>
    <w:rsid w:val="000F4708"/>
    <w:rsid w:val="000F48A1"/>
    <w:rsid w:val="00104B33"/>
    <w:rsid w:val="00122F5B"/>
    <w:rsid w:val="00142C48"/>
    <w:rsid w:val="00172441"/>
    <w:rsid w:val="001A6E70"/>
    <w:rsid w:val="0021222D"/>
    <w:rsid w:val="00261D85"/>
    <w:rsid w:val="0028249D"/>
    <w:rsid w:val="00292F90"/>
    <w:rsid w:val="00292FB7"/>
    <w:rsid w:val="002C4B42"/>
    <w:rsid w:val="002E094B"/>
    <w:rsid w:val="002E709A"/>
    <w:rsid w:val="0031457F"/>
    <w:rsid w:val="00321186"/>
    <w:rsid w:val="00356614"/>
    <w:rsid w:val="003E1400"/>
    <w:rsid w:val="003E2AB8"/>
    <w:rsid w:val="003F3D26"/>
    <w:rsid w:val="004016C9"/>
    <w:rsid w:val="00421310"/>
    <w:rsid w:val="0042217F"/>
    <w:rsid w:val="0043516B"/>
    <w:rsid w:val="00453EAD"/>
    <w:rsid w:val="004945C5"/>
    <w:rsid w:val="0049599C"/>
    <w:rsid w:val="004B477C"/>
    <w:rsid w:val="004B6D62"/>
    <w:rsid w:val="004C5D2A"/>
    <w:rsid w:val="004D3BC1"/>
    <w:rsid w:val="005101EC"/>
    <w:rsid w:val="005D31EA"/>
    <w:rsid w:val="005E6F93"/>
    <w:rsid w:val="005F4443"/>
    <w:rsid w:val="00643A2D"/>
    <w:rsid w:val="00693383"/>
    <w:rsid w:val="006A7F76"/>
    <w:rsid w:val="006C38E2"/>
    <w:rsid w:val="006C6349"/>
    <w:rsid w:val="00734327"/>
    <w:rsid w:val="00762D01"/>
    <w:rsid w:val="007646A5"/>
    <w:rsid w:val="007828BA"/>
    <w:rsid w:val="00786B30"/>
    <w:rsid w:val="007C2EC6"/>
    <w:rsid w:val="007F6E9D"/>
    <w:rsid w:val="0081425E"/>
    <w:rsid w:val="008318D7"/>
    <w:rsid w:val="008540B2"/>
    <w:rsid w:val="00864C64"/>
    <w:rsid w:val="0086600D"/>
    <w:rsid w:val="00871371"/>
    <w:rsid w:val="0087311E"/>
    <w:rsid w:val="0089287E"/>
    <w:rsid w:val="008D16C6"/>
    <w:rsid w:val="00946F2F"/>
    <w:rsid w:val="00965B27"/>
    <w:rsid w:val="00971E23"/>
    <w:rsid w:val="009A3933"/>
    <w:rsid w:val="009A42EB"/>
    <w:rsid w:val="009B3B93"/>
    <w:rsid w:val="009B65DC"/>
    <w:rsid w:val="009D082F"/>
    <w:rsid w:val="009D45DF"/>
    <w:rsid w:val="009D7C03"/>
    <w:rsid w:val="009F7417"/>
    <w:rsid w:val="00A040E3"/>
    <w:rsid w:val="00A127BE"/>
    <w:rsid w:val="00A3695F"/>
    <w:rsid w:val="00A42D17"/>
    <w:rsid w:val="00A66DFA"/>
    <w:rsid w:val="00A904CA"/>
    <w:rsid w:val="00AA1CC4"/>
    <w:rsid w:val="00AA4210"/>
    <w:rsid w:val="00AA632E"/>
    <w:rsid w:val="00AB1D13"/>
    <w:rsid w:val="00AB51B3"/>
    <w:rsid w:val="00AC3156"/>
    <w:rsid w:val="00AC5B05"/>
    <w:rsid w:val="00AD2273"/>
    <w:rsid w:val="00B118C0"/>
    <w:rsid w:val="00B4034F"/>
    <w:rsid w:val="00B91C2F"/>
    <w:rsid w:val="00B9756F"/>
    <w:rsid w:val="00BB1107"/>
    <w:rsid w:val="00BE59D5"/>
    <w:rsid w:val="00C0485B"/>
    <w:rsid w:val="00C16B8A"/>
    <w:rsid w:val="00C35203"/>
    <w:rsid w:val="00C4265F"/>
    <w:rsid w:val="00C437EF"/>
    <w:rsid w:val="00C44028"/>
    <w:rsid w:val="00C634EC"/>
    <w:rsid w:val="00C64F9B"/>
    <w:rsid w:val="00CB0004"/>
    <w:rsid w:val="00CB0FB7"/>
    <w:rsid w:val="00CB1D46"/>
    <w:rsid w:val="00CB7DC6"/>
    <w:rsid w:val="00CD2CD6"/>
    <w:rsid w:val="00CD73C5"/>
    <w:rsid w:val="00CE3E46"/>
    <w:rsid w:val="00CF26EF"/>
    <w:rsid w:val="00CF68DF"/>
    <w:rsid w:val="00D02973"/>
    <w:rsid w:val="00D5392F"/>
    <w:rsid w:val="00D64B29"/>
    <w:rsid w:val="00D976EA"/>
    <w:rsid w:val="00DB539A"/>
    <w:rsid w:val="00DC4326"/>
    <w:rsid w:val="00DF2FAC"/>
    <w:rsid w:val="00E055D1"/>
    <w:rsid w:val="00E11316"/>
    <w:rsid w:val="00E35A4B"/>
    <w:rsid w:val="00E6156B"/>
    <w:rsid w:val="00E77DC7"/>
    <w:rsid w:val="00E93F61"/>
    <w:rsid w:val="00E9609E"/>
    <w:rsid w:val="00ED46F2"/>
    <w:rsid w:val="00F60007"/>
    <w:rsid w:val="00F87F21"/>
    <w:rsid w:val="00F92D10"/>
    <w:rsid w:val="00F93007"/>
    <w:rsid w:val="00FC12D1"/>
    <w:rsid w:val="00FC5599"/>
    <w:rsid w:val="00FC6799"/>
    <w:rsid w:val="00FD4C51"/>
    <w:rsid w:val="00FF74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256340A3-E447-4D6E-96ED-237383CDA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1D13"/>
    <w:pPr>
      <w:spacing w:after="200" w:line="276" w:lineRule="auto"/>
    </w:pPr>
  </w:style>
  <w:style w:type="paragraph" w:styleId="Heading1">
    <w:name w:val="heading 1"/>
    <w:basedOn w:val="Normal"/>
    <w:next w:val="Normal"/>
    <w:link w:val="Heading1Char"/>
    <w:qFormat/>
    <w:rsid w:val="00E77DC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nhideWhenUsed/>
    <w:qFormat/>
    <w:rsid w:val="00E77DC7"/>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D02973"/>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nhideWhenUsed/>
    <w:qFormat/>
    <w:rsid w:val="00D02973"/>
    <w:pPr>
      <w:keepNext/>
      <w:keepLines/>
      <w:spacing w:before="200" w:after="0" w:line="240" w:lineRule="auto"/>
      <w:outlineLvl w:val="3"/>
    </w:pPr>
    <w:rPr>
      <w:rFonts w:asciiTheme="majorHAnsi" w:eastAsiaTheme="majorEastAsia" w:hAnsiTheme="majorHAnsi" w:cstheme="majorBidi"/>
      <w:b/>
      <w:bCs/>
      <w:i/>
      <w:iCs/>
      <w:color w:val="5B9BD5" w:themeColor="accent1"/>
      <w:sz w:val="20"/>
      <w:szCs w:val="20"/>
    </w:rPr>
  </w:style>
  <w:style w:type="paragraph" w:styleId="Heading5">
    <w:name w:val="heading 5"/>
    <w:basedOn w:val="Normal"/>
    <w:next w:val="Normal"/>
    <w:link w:val="Heading5Char"/>
    <w:qFormat/>
    <w:rsid w:val="00D02973"/>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semiHidden/>
    <w:unhideWhenUsed/>
    <w:qFormat/>
    <w:rsid w:val="00D02973"/>
    <w:pPr>
      <w:keepNext/>
      <w:keepLines/>
      <w:spacing w:before="200" w:after="0" w:line="240" w:lineRule="auto"/>
      <w:outlineLvl w:val="5"/>
    </w:pPr>
    <w:rPr>
      <w:rFonts w:asciiTheme="majorHAnsi" w:eastAsiaTheme="majorEastAsia" w:hAnsiTheme="majorHAnsi" w:cstheme="majorBidi"/>
      <w:i/>
      <w:iCs/>
      <w:color w:val="1F4D78" w:themeColor="accent1" w:themeShade="7F"/>
      <w:sz w:val="20"/>
      <w:szCs w:val="20"/>
    </w:rPr>
  </w:style>
  <w:style w:type="paragraph" w:styleId="Heading7">
    <w:name w:val="heading 7"/>
    <w:basedOn w:val="Normal"/>
    <w:next w:val="Normal"/>
    <w:link w:val="Heading7Char"/>
    <w:uiPriority w:val="9"/>
    <w:semiHidden/>
    <w:unhideWhenUsed/>
    <w:qFormat/>
    <w:rsid w:val="00D02973"/>
    <w:pPr>
      <w:keepNext/>
      <w:keepLines/>
      <w:spacing w:before="200" w:after="0" w:line="240" w:lineRule="auto"/>
      <w:outlineLvl w:val="6"/>
    </w:pPr>
    <w:rPr>
      <w:rFonts w:ascii="Cambria" w:eastAsia="Times New Roman" w:hAnsi="Cambria" w:cs="Times New Roman"/>
      <w:i/>
      <w:iCs/>
      <w:color w:val="404040"/>
      <w:sz w:val="20"/>
      <w:szCs w:val="20"/>
    </w:rPr>
  </w:style>
  <w:style w:type="paragraph" w:styleId="Heading8">
    <w:name w:val="heading 8"/>
    <w:basedOn w:val="Normal"/>
    <w:next w:val="Normal"/>
    <w:link w:val="Heading8Char"/>
    <w:unhideWhenUsed/>
    <w:qFormat/>
    <w:rsid w:val="00D02973"/>
    <w:pPr>
      <w:keepNext/>
      <w:keepLines/>
      <w:spacing w:before="200" w:after="0" w:line="240" w:lineRule="auto"/>
      <w:outlineLvl w:val="7"/>
    </w:pPr>
    <w:rPr>
      <w:rFonts w:ascii="Cambria" w:eastAsia="Times New Roman" w:hAnsi="Cambria" w:cs="Times New Roman"/>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B1D13"/>
    <w:pPr>
      <w:spacing w:after="0" w:line="240" w:lineRule="auto"/>
    </w:pPr>
  </w:style>
  <w:style w:type="character" w:customStyle="1" w:styleId="Heading1Char">
    <w:name w:val="Heading 1 Char"/>
    <w:basedOn w:val="DefaultParagraphFont"/>
    <w:link w:val="Heading1"/>
    <w:uiPriority w:val="99"/>
    <w:rsid w:val="00E77DC7"/>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9"/>
    <w:rsid w:val="00E77DC7"/>
    <w:rPr>
      <w:rFonts w:asciiTheme="majorHAnsi" w:eastAsiaTheme="majorEastAsia" w:hAnsiTheme="majorHAnsi" w:cstheme="majorBidi"/>
      <w:b/>
      <w:bCs/>
      <w:color w:val="5B9BD5" w:themeColor="accent1"/>
      <w:sz w:val="26"/>
      <w:szCs w:val="26"/>
    </w:rPr>
  </w:style>
  <w:style w:type="paragraph" w:styleId="ListParagraph">
    <w:name w:val="List Paragraph"/>
    <w:basedOn w:val="Normal"/>
    <w:uiPriority w:val="34"/>
    <w:qFormat/>
    <w:rsid w:val="00E77DC7"/>
    <w:pPr>
      <w:ind w:left="720"/>
      <w:contextualSpacing/>
    </w:pPr>
    <w:rPr>
      <w:rFonts w:ascii="Arial" w:hAnsi="Arial"/>
    </w:rPr>
  </w:style>
  <w:style w:type="table" w:customStyle="1" w:styleId="LightShading1">
    <w:name w:val="Light Shading1"/>
    <w:basedOn w:val="TableNormal"/>
    <w:uiPriority w:val="60"/>
    <w:rsid w:val="00E77DC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E77DC7"/>
    <w:rPr>
      <w:sz w:val="16"/>
      <w:szCs w:val="16"/>
    </w:rPr>
  </w:style>
  <w:style w:type="paragraph" w:styleId="CommentText">
    <w:name w:val="annotation text"/>
    <w:basedOn w:val="Normal"/>
    <w:link w:val="CommentTextChar"/>
    <w:semiHidden/>
    <w:unhideWhenUsed/>
    <w:rsid w:val="00E77DC7"/>
    <w:pPr>
      <w:spacing w:line="240" w:lineRule="auto"/>
    </w:pPr>
    <w:rPr>
      <w:sz w:val="20"/>
      <w:szCs w:val="20"/>
    </w:rPr>
  </w:style>
  <w:style w:type="character" w:customStyle="1" w:styleId="CommentTextChar">
    <w:name w:val="Comment Text Char"/>
    <w:basedOn w:val="DefaultParagraphFont"/>
    <w:link w:val="CommentText"/>
    <w:semiHidden/>
    <w:rsid w:val="00E77DC7"/>
    <w:rPr>
      <w:sz w:val="20"/>
      <w:szCs w:val="20"/>
    </w:rPr>
  </w:style>
  <w:style w:type="paragraph" w:styleId="BalloonText">
    <w:name w:val="Balloon Text"/>
    <w:basedOn w:val="Normal"/>
    <w:link w:val="BalloonTextChar"/>
    <w:uiPriority w:val="99"/>
    <w:semiHidden/>
    <w:unhideWhenUsed/>
    <w:rsid w:val="00E77D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7DC7"/>
    <w:rPr>
      <w:rFonts w:ascii="Segoe UI" w:hAnsi="Segoe UI" w:cs="Segoe UI"/>
      <w:sz w:val="18"/>
      <w:szCs w:val="18"/>
    </w:rPr>
  </w:style>
  <w:style w:type="table" w:styleId="TableGrid">
    <w:name w:val="Table Grid"/>
    <w:basedOn w:val="TableNormal"/>
    <w:uiPriority w:val="39"/>
    <w:rsid w:val="000F48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C7A2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nhideWhenUsed/>
    <w:rsid w:val="008660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600D"/>
  </w:style>
  <w:style w:type="paragraph" w:styleId="Footer">
    <w:name w:val="footer"/>
    <w:basedOn w:val="Normal"/>
    <w:link w:val="FooterChar"/>
    <w:uiPriority w:val="99"/>
    <w:unhideWhenUsed/>
    <w:rsid w:val="008660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600D"/>
  </w:style>
  <w:style w:type="character" w:customStyle="1" w:styleId="Heading3Char">
    <w:name w:val="Heading 3 Char"/>
    <w:basedOn w:val="DefaultParagraphFont"/>
    <w:link w:val="Heading3"/>
    <w:rsid w:val="00D02973"/>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rsid w:val="00D02973"/>
    <w:rPr>
      <w:rFonts w:asciiTheme="majorHAnsi" w:eastAsiaTheme="majorEastAsia" w:hAnsiTheme="majorHAnsi" w:cstheme="majorBidi"/>
      <w:b/>
      <w:bCs/>
      <w:i/>
      <w:iCs/>
      <w:color w:val="5B9BD5" w:themeColor="accent1"/>
      <w:sz w:val="20"/>
      <w:szCs w:val="20"/>
    </w:rPr>
  </w:style>
  <w:style w:type="character" w:customStyle="1" w:styleId="Heading5Char">
    <w:name w:val="Heading 5 Char"/>
    <w:basedOn w:val="DefaultParagraphFont"/>
    <w:link w:val="Heading5"/>
    <w:rsid w:val="00D02973"/>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semiHidden/>
    <w:rsid w:val="00D02973"/>
    <w:rPr>
      <w:rFonts w:asciiTheme="majorHAnsi" w:eastAsiaTheme="majorEastAsia" w:hAnsiTheme="majorHAnsi" w:cstheme="majorBidi"/>
      <w:i/>
      <w:iCs/>
      <w:color w:val="1F4D78" w:themeColor="accent1" w:themeShade="7F"/>
      <w:sz w:val="20"/>
      <w:szCs w:val="20"/>
    </w:rPr>
  </w:style>
  <w:style w:type="character" w:customStyle="1" w:styleId="Heading7Char">
    <w:name w:val="Heading 7 Char"/>
    <w:basedOn w:val="DefaultParagraphFont"/>
    <w:link w:val="Heading7"/>
    <w:uiPriority w:val="9"/>
    <w:semiHidden/>
    <w:rsid w:val="00D02973"/>
    <w:rPr>
      <w:rFonts w:ascii="Cambria" w:eastAsia="Times New Roman" w:hAnsi="Cambria" w:cs="Times New Roman"/>
      <w:i/>
      <w:iCs/>
      <w:color w:val="404040"/>
      <w:sz w:val="20"/>
      <w:szCs w:val="20"/>
    </w:rPr>
  </w:style>
  <w:style w:type="character" w:customStyle="1" w:styleId="Heading8Char">
    <w:name w:val="Heading 8 Char"/>
    <w:basedOn w:val="DefaultParagraphFont"/>
    <w:link w:val="Heading8"/>
    <w:rsid w:val="00D02973"/>
    <w:rPr>
      <w:rFonts w:ascii="Cambria" w:eastAsia="Times New Roman" w:hAnsi="Cambria" w:cs="Times New Roman"/>
      <w:color w:val="404040"/>
      <w:sz w:val="20"/>
      <w:szCs w:val="20"/>
    </w:rPr>
  </w:style>
  <w:style w:type="paragraph" w:styleId="Title">
    <w:name w:val="Title"/>
    <w:basedOn w:val="Normal"/>
    <w:next w:val="Normal"/>
    <w:link w:val="TitleChar"/>
    <w:qFormat/>
    <w:rsid w:val="00D02973"/>
    <w:pPr>
      <w:pBdr>
        <w:bottom w:val="single" w:sz="8" w:space="4" w:color="5B9BD5" w:themeColor="accent1"/>
      </w:pBdr>
      <w:tabs>
        <w:tab w:val="right" w:pos="9026"/>
      </w:tabs>
      <w:spacing w:after="300" w:line="240" w:lineRule="auto"/>
      <w:contextualSpacing/>
    </w:pPr>
    <w:rPr>
      <w:rFonts w:asciiTheme="majorHAnsi" w:eastAsiaTheme="majorEastAsia" w:hAnsiTheme="majorHAnsi" w:cstheme="majorBidi"/>
      <w:color w:val="FFC000"/>
      <w:spacing w:val="5"/>
      <w:kern w:val="28"/>
      <w:sz w:val="52"/>
      <w:szCs w:val="52"/>
    </w:rPr>
  </w:style>
  <w:style w:type="character" w:customStyle="1" w:styleId="TitleChar">
    <w:name w:val="Title Char"/>
    <w:basedOn w:val="DefaultParagraphFont"/>
    <w:link w:val="Title"/>
    <w:rsid w:val="00D02973"/>
    <w:rPr>
      <w:rFonts w:asciiTheme="majorHAnsi" w:eastAsiaTheme="majorEastAsia" w:hAnsiTheme="majorHAnsi" w:cstheme="majorBidi"/>
      <w:color w:val="FFC000"/>
      <w:spacing w:val="5"/>
      <w:kern w:val="28"/>
      <w:sz w:val="52"/>
      <w:szCs w:val="52"/>
    </w:rPr>
  </w:style>
  <w:style w:type="paragraph" w:styleId="TOCHeading">
    <w:name w:val="TOC Heading"/>
    <w:basedOn w:val="Heading1"/>
    <w:next w:val="Normal"/>
    <w:uiPriority w:val="39"/>
    <w:unhideWhenUsed/>
    <w:qFormat/>
    <w:rsid w:val="00D02973"/>
    <w:pPr>
      <w:outlineLvl w:val="9"/>
    </w:pPr>
    <w:rPr>
      <w:color w:val="FFC000"/>
      <w:lang w:val="en-US" w:eastAsia="ja-JP"/>
    </w:rPr>
  </w:style>
  <w:style w:type="paragraph" w:styleId="TOC1">
    <w:name w:val="toc 1"/>
    <w:basedOn w:val="Normal"/>
    <w:next w:val="Normal"/>
    <w:autoRedefine/>
    <w:uiPriority w:val="39"/>
    <w:unhideWhenUsed/>
    <w:rsid w:val="00D02973"/>
    <w:pPr>
      <w:spacing w:after="100"/>
    </w:pPr>
  </w:style>
  <w:style w:type="paragraph" w:styleId="TOC2">
    <w:name w:val="toc 2"/>
    <w:basedOn w:val="Normal"/>
    <w:next w:val="Normal"/>
    <w:autoRedefine/>
    <w:uiPriority w:val="39"/>
    <w:unhideWhenUsed/>
    <w:rsid w:val="00D02973"/>
    <w:pPr>
      <w:spacing w:after="100"/>
      <w:ind w:left="220"/>
    </w:pPr>
  </w:style>
  <w:style w:type="character" w:styleId="Hyperlink">
    <w:name w:val="Hyperlink"/>
    <w:basedOn w:val="DefaultParagraphFont"/>
    <w:uiPriority w:val="99"/>
    <w:unhideWhenUsed/>
    <w:rsid w:val="00D02973"/>
    <w:rPr>
      <w:color w:val="0563C1" w:themeColor="hyperlink"/>
      <w:u w:val="single"/>
    </w:rPr>
  </w:style>
  <w:style w:type="character" w:styleId="BookTitle">
    <w:name w:val="Book Title"/>
    <w:basedOn w:val="DefaultParagraphFont"/>
    <w:uiPriority w:val="33"/>
    <w:qFormat/>
    <w:rsid w:val="00D02973"/>
    <w:rPr>
      <w:b/>
      <w:bCs/>
      <w:smallCaps/>
      <w:spacing w:val="5"/>
    </w:rPr>
  </w:style>
  <w:style w:type="paragraph" w:customStyle="1" w:styleId="Para1">
    <w:name w:val="Para_1"/>
    <w:basedOn w:val="Normal"/>
    <w:rsid w:val="00D02973"/>
    <w:pPr>
      <w:spacing w:after="120" w:line="240" w:lineRule="auto"/>
      <w:ind w:left="709"/>
    </w:pPr>
    <w:rPr>
      <w:rFonts w:ascii="Arial" w:eastAsia="Calibri" w:hAnsi="Arial" w:cs="Times New Roman"/>
      <w:color w:val="000000"/>
      <w:sz w:val="24"/>
      <w:szCs w:val="20"/>
      <w:lang w:val="en-US"/>
    </w:rPr>
  </w:style>
  <w:style w:type="paragraph" w:styleId="BodyText">
    <w:name w:val="Body Text"/>
    <w:basedOn w:val="Normal"/>
    <w:link w:val="BodyTextChar"/>
    <w:rsid w:val="00D02973"/>
    <w:pPr>
      <w:spacing w:after="120" w:line="240" w:lineRule="auto"/>
    </w:pPr>
    <w:rPr>
      <w:rFonts w:ascii="Times New Roman" w:eastAsia="Calibri" w:hAnsi="Times New Roman" w:cs="Times New Roman"/>
      <w:sz w:val="20"/>
      <w:szCs w:val="20"/>
      <w:lang w:eastAsia="en-AU"/>
    </w:rPr>
  </w:style>
  <w:style w:type="character" w:customStyle="1" w:styleId="BodyTextChar">
    <w:name w:val="Body Text Char"/>
    <w:basedOn w:val="DefaultParagraphFont"/>
    <w:link w:val="BodyText"/>
    <w:rsid w:val="00D02973"/>
    <w:rPr>
      <w:rFonts w:ascii="Times New Roman" w:eastAsia="Calibri" w:hAnsi="Times New Roman" w:cs="Times New Roman"/>
      <w:sz w:val="20"/>
      <w:szCs w:val="20"/>
      <w:lang w:eastAsia="en-AU"/>
    </w:rPr>
  </w:style>
  <w:style w:type="paragraph" w:customStyle="1" w:styleId="CTAMPBody">
    <w:name w:val="CT AMP Body"/>
    <w:basedOn w:val="Normal"/>
    <w:link w:val="CTAMPBodyChar"/>
    <w:uiPriority w:val="99"/>
    <w:rsid w:val="00D02973"/>
    <w:pPr>
      <w:spacing w:after="240" w:line="240" w:lineRule="auto"/>
      <w:jc w:val="both"/>
    </w:pPr>
    <w:rPr>
      <w:rFonts w:ascii="Calibri" w:eastAsia="Calibri" w:hAnsi="Calibri" w:cs="Times New Roman"/>
      <w:sz w:val="20"/>
      <w:szCs w:val="20"/>
    </w:rPr>
  </w:style>
  <w:style w:type="character" w:customStyle="1" w:styleId="CTAMPBodyChar">
    <w:name w:val="CT AMP Body Char"/>
    <w:link w:val="CTAMPBody"/>
    <w:uiPriority w:val="99"/>
    <w:locked/>
    <w:rsid w:val="00D02973"/>
    <w:rPr>
      <w:rFonts w:ascii="Calibri" w:eastAsia="Calibri" w:hAnsi="Calibri" w:cs="Times New Roman"/>
      <w:sz w:val="20"/>
      <w:szCs w:val="20"/>
    </w:rPr>
  </w:style>
  <w:style w:type="paragraph" w:customStyle="1" w:styleId="Normal2">
    <w:name w:val="Normal 2"/>
    <w:basedOn w:val="Normal"/>
    <w:rsid w:val="00D02973"/>
    <w:pPr>
      <w:spacing w:after="0" w:line="240" w:lineRule="auto"/>
      <w:ind w:left="1134"/>
      <w:jc w:val="both"/>
    </w:pPr>
    <w:rPr>
      <w:rFonts w:ascii="Swis721 Cn BT" w:eastAsia="Times New Roman" w:hAnsi="Swis721 Cn BT" w:cs="Times New Roman"/>
      <w:szCs w:val="20"/>
      <w:lang w:val="en-US"/>
    </w:rPr>
  </w:style>
  <w:style w:type="character" w:customStyle="1" w:styleId="ColourGray">
    <w:name w:val="Colour Gray"/>
    <w:rsid w:val="00D02973"/>
    <w:rPr>
      <w:color w:val="A7A7A7"/>
    </w:rPr>
  </w:style>
  <w:style w:type="paragraph" w:styleId="Caption">
    <w:name w:val="caption"/>
    <w:basedOn w:val="Normal"/>
    <w:next w:val="Normal"/>
    <w:link w:val="CaptionChar"/>
    <w:uiPriority w:val="99"/>
    <w:qFormat/>
    <w:rsid w:val="00D02973"/>
    <w:pPr>
      <w:keepNext/>
      <w:spacing w:before="240" w:line="240" w:lineRule="auto"/>
      <w:jc w:val="both"/>
    </w:pPr>
    <w:rPr>
      <w:rFonts w:ascii="Arial" w:eastAsia="Times New Roman" w:hAnsi="Arial" w:cs="Times New Roman"/>
      <w:b/>
      <w:bCs/>
      <w:color w:val="0D4D8B"/>
      <w:sz w:val="18"/>
      <w:szCs w:val="18"/>
    </w:rPr>
  </w:style>
  <w:style w:type="character" w:customStyle="1" w:styleId="CaptionChar">
    <w:name w:val="Caption Char"/>
    <w:link w:val="Caption"/>
    <w:uiPriority w:val="99"/>
    <w:rsid w:val="00D02973"/>
    <w:rPr>
      <w:rFonts w:ascii="Arial" w:eastAsia="Times New Roman" w:hAnsi="Arial" w:cs="Times New Roman"/>
      <w:b/>
      <w:bCs/>
      <w:color w:val="0D4D8B"/>
      <w:sz w:val="18"/>
      <w:szCs w:val="18"/>
    </w:rPr>
  </w:style>
  <w:style w:type="paragraph" w:customStyle="1" w:styleId="CTAMPH1">
    <w:name w:val="CT AMP H1"/>
    <w:basedOn w:val="Normal"/>
    <w:link w:val="CTAMPH1Char"/>
    <w:uiPriority w:val="99"/>
    <w:rsid w:val="00D02973"/>
    <w:pPr>
      <w:tabs>
        <w:tab w:val="num" w:pos="643"/>
        <w:tab w:val="num" w:pos="1134"/>
      </w:tabs>
      <w:spacing w:before="240" w:after="240" w:line="240" w:lineRule="auto"/>
      <w:ind w:left="1134" w:hanging="1134"/>
      <w:jc w:val="both"/>
      <w:outlineLvl w:val="0"/>
    </w:pPr>
    <w:rPr>
      <w:rFonts w:ascii="Calibri" w:eastAsia="Times New Roman" w:hAnsi="Calibri" w:cs="Arial"/>
      <w:b/>
      <w:color w:val="0D4D8B"/>
      <w:sz w:val="40"/>
      <w:szCs w:val="40"/>
    </w:rPr>
  </w:style>
  <w:style w:type="character" w:customStyle="1" w:styleId="CTAMPH1Char">
    <w:name w:val="CT AMP H1 Char"/>
    <w:link w:val="CTAMPH1"/>
    <w:uiPriority w:val="99"/>
    <w:locked/>
    <w:rsid w:val="00D02973"/>
    <w:rPr>
      <w:rFonts w:ascii="Calibri" w:eastAsia="Times New Roman" w:hAnsi="Calibri" w:cs="Arial"/>
      <w:b/>
      <w:color w:val="0D4D8B"/>
      <w:sz w:val="40"/>
      <w:szCs w:val="40"/>
    </w:rPr>
  </w:style>
  <w:style w:type="paragraph" w:customStyle="1" w:styleId="Normal1">
    <w:name w:val="Normal 1"/>
    <w:basedOn w:val="Normal"/>
    <w:rsid w:val="00D02973"/>
    <w:pPr>
      <w:spacing w:after="0" w:line="240" w:lineRule="auto"/>
      <w:ind w:left="567"/>
      <w:jc w:val="both"/>
    </w:pPr>
    <w:rPr>
      <w:rFonts w:ascii="Swis721 Cn BT" w:eastAsia="Times New Roman" w:hAnsi="Swis721 Cn BT" w:cs="Times New Roman"/>
      <w:szCs w:val="20"/>
      <w:lang w:val="en-US"/>
    </w:rPr>
  </w:style>
  <w:style w:type="paragraph" w:customStyle="1" w:styleId="Style7">
    <w:name w:val="Style 7"/>
    <w:basedOn w:val="Normal"/>
    <w:rsid w:val="00D02973"/>
    <w:pPr>
      <w:widowControl w:val="0"/>
      <w:autoSpaceDE w:val="0"/>
      <w:autoSpaceDN w:val="0"/>
      <w:adjustRightInd w:val="0"/>
      <w:spacing w:after="0" w:line="240" w:lineRule="auto"/>
    </w:pPr>
    <w:rPr>
      <w:rFonts w:ascii="Times New Roman" w:eastAsia="Calibri" w:hAnsi="Times New Roman" w:cs="Times New Roman"/>
      <w:sz w:val="24"/>
      <w:szCs w:val="24"/>
      <w:lang w:val="en-US" w:eastAsia="en-AU"/>
    </w:rPr>
  </w:style>
  <w:style w:type="paragraph" w:styleId="TOC3">
    <w:name w:val="toc 3"/>
    <w:basedOn w:val="Normal"/>
    <w:next w:val="Normal"/>
    <w:autoRedefine/>
    <w:uiPriority w:val="39"/>
    <w:unhideWhenUsed/>
    <w:rsid w:val="00D02973"/>
    <w:pPr>
      <w:spacing w:after="100"/>
      <w:ind w:left="440"/>
    </w:pPr>
  </w:style>
  <w:style w:type="paragraph" w:styleId="PlainText">
    <w:name w:val="Plain Text"/>
    <w:basedOn w:val="Normal"/>
    <w:link w:val="PlainTextChar"/>
    <w:uiPriority w:val="99"/>
    <w:unhideWhenUsed/>
    <w:rsid w:val="00D02973"/>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D02973"/>
    <w:rPr>
      <w:rFonts w:ascii="Calibri" w:eastAsia="Calibri" w:hAnsi="Calibri" w:cs="Times New Roman"/>
      <w:szCs w:val="21"/>
    </w:rPr>
  </w:style>
  <w:style w:type="paragraph" w:styleId="BodyTextIndent3">
    <w:name w:val="Body Text Indent 3"/>
    <w:basedOn w:val="Normal"/>
    <w:link w:val="BodyTextIndent3Char"/>
    <w:unhideWhenUsed/>
    <w:rsid w:val="00D02973"/>
    <w:pPr>
      <w:spacing w:before="80" w:after="120" w:line="240" w:lineRule="auto"/>
      <w:ind w:left="283"/>
    </w:pPr>
    <w:rPr>
      <w:rFonts w:ascii="Arial" w:eastAsia="Times New Roman" w:hAnsi="Arial" w:cs="Times New Roman"/>
      <w:sz w:val="16"/>
      <w:szCs w:val="16"/>
    </w:rPr>
  </w:style>
  <w:style w:type="character" w:customStyle="1" w:styleId="BodyTextIndent3Char">
    <w:name w:val="Body Text Indent 3 Char"/>
    <w:basedOn w:val="DefaultParagraphFont"/>
    <w:link w:val="BodyTextIndent3"/>
    <w:rsid w:val="00D02973"/>
    <w:rPr>
      <w:rFonts w:ascii="Arial" w:eastAsia="Times New Roman" w:hAnsi="Arial" w:cs="Times New Roman"/>
      <w:sz w:val="16"/>
      <w:szCs w:val="16"/>
    </w:rPr>
  </w:style>
  <w:style w:type="paragraph" w:customStyle="1" w:styleId="Style10">
    <w:name w:val="Style 10"/>
    <w:basedOn w:val="Normal"/>
    <w:rsid w:val="00D02973"/>
    <w:pPr>
      <w:widowControl w:val="0"/>
      <w:autoSpaceDE w:val="0"/>
      <w:autoSpaceDN w:val="0"/>
      <w:spacing w:after="0" w:line="276" w:lineRule="exact"/>
      <w:ind w:left="468" w:hanging="432"/>
    </w:pPr>
    <w:rPr>
      <w:rFonts w:ascii="Times New Roman" w:eastAsia="Times New Roman" w:hAnsi="Times New Roman" w:cs="Times New Roman"/>
      <w:sz w:val="24"/>
      <w:szCs w:val="24"/>
      <w:lang w:val="en-US" w:eastAsia="en-AU"/>
    </w:rPr>
  </w:style>
  <w:style w:type="paragraph" w:customStyle="1" w:styleId="Para2">
    <w:name w:val="Para_2"/>
    <w:basedOn w:val="Normal"/>
    <w:link w:val="Para2Char"/>
    <w:rsid w:val="00D02973"/>
    <w:pPr>
      <w:spacing w:after="120" w:line="240" w:lineRule="auto"/>
      <w:ind w:left="1418"/>
    </w:pPr>
    <w:rPr>
      <w:rFonts w:ascii="Arial" w:eastAsia="Calibri" w:hAnsi="Arial" w:cs="Times New Roman"/>
      <w:color w:val="000000"/>
      <w:sz w:val="20"/>
      <w:szCs w:val="20"/>
      <w:lang w:val="en-GB" w:eastAsia="en-AU"/>
    </w:rPr>
  </w:style>
  <w:style w:type="character" w:customStyle="1" w:styleId="Para2Char">
    <w:name w:val="Para_2 Char"/>
    <w:link w:val="Para2"/>
    <w:locked/>
    <w:rsid w:val="00D02973"/>
    <w:rPr>
      <w:rFonts w:ascii="Arial" w:eastAsia="Calibri" w:hAnsi="Arial" w:cs="Times New Roman"/>
      <w:color w:val="000000"/>
      <w:sz w:val="20"/>
      <w:szCs w:val="20"/>
      <w:lang w:val="en-GB" w:eastAsia="en-AU"/>
    </w:rPr>
  </w:style>
  <w:style w:type="paragraph" w:customStyle="1" w:styleId="BodyText2">
    <w:name w:val="Body Text2"/>
    <w:basedOn w:val="Normal"/>
    <w:autoRedefine/>
    <w:uiPriority w:val="99"/>
    <w:rsid w:val="00D02973"/>
    <w:pPr>
      <w:spacing w:after="120" w:line="240" w:lineRule="auto"/>
      <w:jc w:val="both"/>
    </w:pPr>
    <w:rPr>
      <w:rFonts w:ascii="Calibri" w:eastAsia="Times New Roman" w:hAnsi="Calibri" w:cs="Calibri"/>
      <w:sz w:val="24"/>
      <w:szCs w:val="24"/>
    </w:rPr>
  </w:style>
  <w:style w:type="paragraph" w:customStyle="1" w:styleId="Default">
    <w:name w:val="Default"/>
    <w:rsid w:val="00D02973"/>
    <w:pPr>
      <w:autoSpaceDE w:val="0"/>
      <w:autoSpaceDN w:val="0"/>
      <w:adjustRightInd w:val="0"/>
      <w:spacing w:after="0" w:line="240" w:lineRule="auto"/>
    </w:pPr>
    <w:rPr>
      <w:rFonts w:ascii="Wingdings" w:hAnsi="Wingdings" w:cs="Wingdings"/>
      <w:color w:val="000000"/>
      <w:sz w:val="24"/>
      <w:szCs w:val="24"/>
    </w:rPr>
  </w:style>
  <w:style w:type="paragraph" w:customStyle="1" w:styleId="CTMHeading3">
    <w:name w:val="CTM Heading 3"/>
    <w:basedOn w:val="Normal"/>
    <w:link w:val="CTMHeading3Char"/>
    <w:uiPriority w:val="99"/>
    <w:rsid w:val="00D02973"/>
    <w:pPr>
      <w:tabs>
        <w:tab w:val="num" w:pos="643"/>
        <w:tab w:val="num" w:pos="1080"/>
        <w:tab w:val="num" w:pos="1134"/>
      </w:tabs>
      <w:spacing w:before="240" w:after="240" w:line="240" w:lineRule="auto"/>
      <w:ind w:left="1134" w:hanging="1134"/>
      <w:jc w:val="both"/>
      <w:outlineLvl w:val="2"/>
    </w:pPr>
    <w:rPr>
      <w:rFonts w:ascii="Calibri" w:eastAsia="Times New Roman" w:hAnsi="Calibri" w:cs="Arial"/>
      <w:b/>
      <w:color w:val="0D4D8B"/>
      <w:sz w:val="24"/>
      <w:szCs w:val="24"/>
    </w:rPr>
  </w:style>
  <w:style w:type="character" w:customStyle="1" w:styleId="CTMHeading3Char">
    <w:name w:val="CTM Heading 3 Char"/>
    <w:link w:val="CTMHeading3"/>
    <w:uiPriority w:val="99"/>
    <w:locked/>
    <w:rsid w:val="00D02973"/>
    <w:rPr>
      <w:rFonts w:ascii="Calibri" w:eastAsia="Times New Roman" w:hAnsi="Calibri" w:cs="Arial"/>
      <w:b/>
      <w:color w:val="0D4D8B"/>
      <w:sz w:val="24"/>
      <w:szCs w:val="24"/>
    </w:rPr>
  </w:style>
  <w:style w:type="paragraph" w:customStyle="1" w:styleId="CTAMPH2">
    <w:name w:val="CT AMP H2"/>
    <w:basedOn w:val="Normal"/>
    <w:next w:val="CTAMPBody"/>
    <w:link w:val="CTAMPH2CharChar"/>
    <w:uiPriority w:val="99"/>
    <w:rsid w:val="00D02973"/>
    <w:pPr>
      <w:tabs>
        <w:tab w:val="num" w:pos="643"/>
        <w:tab w:val="left" w:pos="1134"/>
      </w:tabs>
      <w:spacing w:before="240" w:after="240" w:line="240" w:lineRule="auto"/>
      <w:ind w:left="1134" w:hanging="1134"/>
      <w:jc w:val="both"/>
      <w:outlineLvl w:val="1"/>
    </w:pPr>
    <w:rPr>
      <w:rFonts w:ascii="Calibri" w:eastAsia="Times New Roman" w:hAnsi="Calibri" w:cs="Arial"/>
      <w:b/>
      <w:color w:val="0D4D8B"/>
      <w:sz w:val="28"/>
      <w:szCs w:val="28"/>
    </w:rPr>
  </w:style>
  <w:style w:type="character" w:customStyle="1" w:styleId="CTAMPH2CharChar">
    <w:name w:val="CT AMP H2 Char Char"/>
    <w:link w:val="CTAMPH2"/>
    <w:uiPriority w:val="99"/>
    <w:locked/>
    <w:rsid w:val="00D02973"/>
    <w:rPr>
      <w:rFonts w:ascii="Calibri" w:eastAsia="Times New Roman" w:hAnsi="Calibri" w:cs="Arial"/>
      <w:b/>
      <w:color w:val="0D4D8B"/>
      <w:sz w:val="28"/>
      <w:szCs w:val="28"/>
    </w:rPr>
  </w:style>
  <w:style w:type="paragraph" w:customStyle="1" w:styleId="BodyText5">
    <w:name w:val="Body Text5"/>
    <w:basedOn w:val="Normal"/>
    <w:rsid w:val="00D02973"/>
    <w:pPr>
      <w:spacing w:after="119" w:line="240" w:lineRule="auto"/>
      <w:ind w:left="1134"/>
      <w:jc w:val="both"/>
    </w:pPr>
    <w:rPr>
      <w:rFonts w:ascii="Times New Roman" w:eastAsia="Times New Roman" w:hAnsi="Times New Roman" w:cs="Times New Roman"/>
      <w:sz w:val="20"/>
      <w:szCs w:val="20"/>
      <w:lang w:eastAsia="en-AU"/>
    </w:rPr>
  </w:style>
  <w:style w:type="paragraph" w:customStyle="1" w:styleId="TableHeading">
    <w:name w:val="Table Heading"/>
    <w:basedOn w:val="Normal"/>
    <w:uiPriority w:val="99"/>
    <w:rsid w:val="00D02973"/>
    <w:pPr>
      <w:numPr>
        <w:numId w:val="1"/>
      </w:numPr>
      <w:spacing w:before="80" w:after="120" w:line="240" w:lineRule="auto"/>
      <w:jc w:val="both"/>
    </w:pPr>
    <w:rPr>
      <w:rFonts w:ascii="Arial" w:eastAsia="Times New Roman" w:hAnsi="Arial" w:cs="Times New Roman"/>
      <w:b/>
      <w:i/>
      <w:sz w:val="20"/>
      <w:szCs w:val="20"/>
    </w:rPr>
  </w:style>
  <w:style w:type="paragraph" w:customStyle="1" w:styleId="CTMHeading1">
    <w:name w:val="CTM Heading 1"/>
    <w:basedOn w:val="Normal"/>
    <w:link w:val="CTMHeading1Char"/>
    <w:uiPriority w:val="99"/>
    <w:rsid w:val="00D02973"/>
    <w:pPr>
      <w:tabs>
        <w:tab w:val="num" w:pos="720"/>
      </w:tabs>
      <w:spacing w:before="240" w:after="240" w:line="240" w:lineRule="auto"/>
      <w:ind w:left="720" w:hanging="720"/>
      <w:jc w:val="both"/>
      <w:outlineLvl w:val="0"/>
    </w:pPr>
    <w:rPr>
      <w:rFonts w:ascii="Calibri" w:eastAsia="Times New Roman" w:hAnsi="Calibri" w:cs="Arial"/>
      <w:color w:val="002E62"/>
      <w:sz w:val="44"/>
      <w:szCs w:val="40"/>
    </w:rPr>
  </w:style>
  <w:style w:type="character" w:customStyle="1" w:styleId="CTMHeading1Char">
    <w:name w:val="CTM Heading 1 Char"/>
    <w:link w:val="CTMHeading1"/>
    <w:uiPriority w:val="99"/>
    <w:locked/>
    <w:rsid w:val="00D02973"/>
    <w:rPr>
      <w:rFonts w:ascii="Calibri" w:eastAsia="Times New Roman" w:hAnsi="Calibri" w:cs="Arial"/>
      <w:color w:val="002E62"/>
      <w:sz w:val="44"/>
      <w:szCs w:val="40"/>
    </w:rPr>
  </w:style>
  <w:style w:type="paragraph" w:customStyle="1" w:styleId="CTMHeading2">
    <w:name w:val="CTM Heading 2"/>
    <w:basedOn w:val="Normal"/>
    <w:link w:val="CTMHeading2Char"/>
    <w:uiPriority w:val="99"/>
    <w:rsid w:val="00D02973"/>
    <w:pPr>
      <w:tabs>
        <w:tab w:val="num" w:pos="1259"/>
      </w:tabs>
      <w:spacing w:before="240" w:after="240" w:line="240" w:lineRule="auto"/>
      <w:ind w:left="2041" w:hanging="1502"/>
      <w:jc w:val="both"/>
      <w:outlineLvl w:val="1"/>
    </w:pPr>
    <w:rPr>
      <w:rFonts w:ascii="Calibri" w:eastAsia="Times New Roman" w:hAnsi="Calibri" w:cs="Arial"/>
      <w:color w:val="002E62"/>
      <w:sz w:val="28"/>
      <w:szCs w:val="28"/>
    </w:rPr>
  </w:style>
  <w:style w:type="character" w:customStyle="1" w:styleId="CTMHeading2Char">
    <w:name w:val="CTM Heading 2 Char"/>
    <w:link w:val="CTMHeading2"/>
    <w:uiPriority w:val="99"/>
    <w:locked/>
    <w:rsid w:val="00D02973"/>
    <w:rPr>
      <w:rFonts w:ascii="Calibri" w:eastAsia="Times New Roman" w:hAnsi="Calibri" w:cs="Arial"/>
      <w:color w:val="002E62"/>
      <w:sz w:val="28"/>
      <w:szCs w:val="28"/>
    </w:rPr>
  </w:style>
  <w:style w:type="paragraph" w:customStyle="1" w:styleId="CTMHeading4">
    <w:name w:val="CTM Heading 4"/>
    <w:basedOn w:val="Normal"/>
    <w:link w:val="CTMHeading4Char"/>
    <w:uiPriority w:val="99"/>
    <w:rsid w:val="00D02973"/>
    <w:pPr>
      <w:tabs>
        <w:tab w:val="num" w:pos="643"/>
        <w:tab w:val="num" w:pos="1134"/>
        <w:tab w:val="num" w:pos="3419"/>
      </w:tabs>
      <w:spacing w:before="240" w:after="240" w:line="240" w:lineRule="auto"/>
      <w:ind w:left="1134" w:hanging="1134"/>
      <w:jc w:val="both"/>
      <w:outlineLvl w:val="2"/>
    </w:pPr>
    <w:rPr>
      <w:rFonts w:ascii="Calibri" w:eastAsia="Times New Roman" w:hAnsi="Calibri" w:cs="Arial"/>
      <w:b/>
      <w:color w:val="002E62"/>
      <w:sz w:val="24"/>
      <w:szCs w:val="24"/>
    </w:rPr>
  </w:style>
  <w:style w:type="character" w:customStyle="1" w:styleId="CTMHeading4Char">
    <w:name w:val="CTM Heading 4 Char"/>
    <w:link w:val="CTMHeading4"/>
    <w:uiPriority w:val="99"/>
    <w:locked/>
    <w:rsid w:val="00D02973"/>
    <w:rPr>
      <w:rFonts w:ascii="Calibri" w:eastAsia="Times New Roman" w:hAnsi="Calibri" w:cs="Arial"/>
      <w:b/>
      <w:color w:val="002E62"/>
      <w:sz w:val="24"/>
      <w:szCs w:val="24"/>
    </w:rPr>
  </w:style>
  <w:style w:type="character" w:styleId="PageNumber">
    <w:name w:val="page number"/>
    <w:rsid w:val="00D02973"/>
    <w:rPr>
      <w:rFonts w:cs="Times New Roman"/>
    </w:rPr>
  </w:style>
  <w:style w:type="character" w:customStyle="1" w:styleId="NoSpacingChar">
    <w:name w:val="No Spacing Char"/>
    <w:link w:val="NoSpacing"/>
    <w:uiPriority w:val="1"/>
    <w:locked/>
    <w:rsid w:val="00D02973"/>
  </w:style>
  <w:style w:type="paragraph" w:customStyle="1" w:styleId="CTAMPHeading1">
    <w:name w:val="CT AMP Heading 1"/>
    <w:next w:val="CTAMPH2"/>
    <w:uiPriority w:val="99"/>
    <w:rsid w:val="00D02973"/>
    <w:pPr>
      <w:tabs>
        <w:tab w:val="num" w:pos="920"/>
      </w:tabs>
      <w:spacing w:before="240" w:after="240" w:line="240" w:lineRule="auto"/>
      <w:ind w:left="920" w:hanging="720"/>
      <w:jc w:val="both"/>
      <w:outlineLvl w:val="0"/>
    </w:pPr>
    <w:rPr>
      <w:rFonts w:ascii="Calibri" w:eastAsia="Times New Roman" w:hAnsi="Calibri" w:cs="Arial"/>
      <w:color w:val="002E62"/>
      <w:sz w:val="44"/>
      <w:szCs w:val="40"/>
    </w:rPr>
  </w:style>
  <w:style w:type="paragraph" w:styleId="FootnoteText">
    <w:name w:val="footnote text"/>
    <w:basedOn w:val="Normal"/>
    <w:link w:val="FootnoteTextChar"/>
    <w:uiPriority w:val="99"/>
    <w:semiHidden/>
    <w:rsid w:val="00D02973"/>
    <w:pPr>
      <w:spacing w:before="80" w:after="8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uiPriority w:val="99"/>
    <w:semiHidden/>
    <w:rsid w:val="00D02973"/>
    <w:rPr>
      <w:rFonts w:ascii="Arial" w:eastAsia="Times New Roman" w:hAnsi="Arial" w:cs="Times New Roman"/>
      <w:sz w:val="20"/>
      <w:szCs w:val="20"/>
    </w:rPr>
  </w:style>
  <w:style w:type="character" w:styleId="FootnoteReference">
    <w:name w:val="footnote reference"/>
    <w:uiPriority w:val="99"/>
    <w:semiHidden/>
    <w:rsid w:val="00D02973"/>
    <w:rPr>
      <w:rFonts w:cs="Times New Roman"/>
      <w:vertAlign w:val="superscript"/>
    </w:rPr>
  </w:style>
  <w:style w:type="paragraph" w:customStyle="1" w:styleId="CTAMPBulletedAfter6pt">
    <w:name w:val="CT AMP Bulleted + After:  6 pt"/>
    <w:basedOn w:val="CTAMPBody"/>
    <w:uiPriority w:val="99"/>
    <w:rsid w:val="00D02973"/>
    <w:pPr>
      <w:tabs>
        <w:tab w:val="num" w:pos="720"/>
      </w:tabs>
      <w:spacing w:after="120"/>
      <w:ind w:left="720" w:hanging="360"/>
    </w:pPr>
    <w:rPr>
      <w:rFonts w:eastAsia="Times New Roman"/>
      <w:sz w:val="24"/>
    </w:rPr>
  </w:style>
  <w:style w:type="paragraph" w:customStyle="1" w:styleId="CTAMPBodyBold">
    <w:name w:val="CT AMP Body Bold"/>
    <w:basedOn w:val="CTAMPBody"/>
    <w:link w:val="CTAMPBodyBoldChar"/>
    <w:uiPriority w:val="99"/>
    <w:rsid w:val="00D02973"/>
    <w:rPr>
      <w:rFonts w:eastAsia="Times New Roman"/>
      <w:b/>
      <w:bCs/>
      <w:sz w:val="24"/>
    </w:rPr>
  </w:style>
  <w:style w:type="character" w:customStyle="1" w:styleId="CTAMPBodyBoldChar">
    <w:name w:val="CT AMP Body Bold Char"/>
    <w:link w:val="CTAMPBodyBold"/>
    <w:uiPriority w:val="99"/>
    <w:locked/>
    <w:rsid w:val="00D02973"/>
    <w:rPr>
      <w:rFonts w:ascii="Calibri" w:eastAsia="Times New Roman" w:hAnsi="Calibri" w:cs="Times New Roman"/>
      <w:b/>
      <w:bCs/>
      <w:sz w:val="24"/>
      <w:szCs w:val="20"/>
    </w:rPr>
  </w:style>
  <w:style w:type="paragraph" w:customStyle="1" w:styleId="Recommendation">
    <w:name w:val="Recommendation"/>
    <w:basedOn w:val="CTAMPBody"/>
    <w:link w:val="RecommendationChar"/>
    <w:uiPriority w:val="99"/>
    <w:rsid w:val="00D02973"/>
    <w:pPr>
      <w:tabs>
        <w:tab w:val="num" w:pos="643"/>
        <w:tab w:val="num" w:pos="720"/>
        <w:tab w:val="num" w:pos="1173"/>
        <w:tab w:val="left" w:pos="2552"/>
      </w:tabs>
      <w:spacing w:before="120"/>
      <w:ind w:left="2552" w:hanging="2552"/>
    </w:pPr>
    <w:rPr>
      <w:rFonts w:eastAsia="Times New Roman" w:cs="Calibri"/>
      <w:b/>
      <w:bCs/>
      <w:i/>
      <w:iCs/>
      <w:color w:val="211E1E"/>
      <w:sz w:val="24"/>
      <w:szCs w:val="24"/>
      <w:lang w:eastAsia="en-AU"/>
    </w:rPr>
  </w:style>
  <w:style w:type="character" w:customStyle="1" w:styleId="RecommendationChar">
    <w:name w:val="Recommendation Char"/>
    <w:link w:val="Recommendation"/>
    <w:uiPriority w:val="99"/>
    <w:locked/>
    <w:rsid w:val="00D02973"/>
    <w:rPr>
      <w:rFonts w:ascii="Calibri" w:eastAsia="Times New Roman" w:hAnsi="Calibri" w:cs="Calibri"/>
      <w:b/>
      <w:bCs/>
      <w:i/>
      <w:iCs/>
      <w:color w:val="211E1E"/>
      <w:sz w:val="24"/>
      <w:szCs w:val="24"/>
      <w:lang w:eastAsia="en-AU"/>
    </w:rPr>
  </w:style>
  <w:style w:type="paragraph" w:customStyle="1" w:styleId="CTH2">
    <w:name w:val="CT H2"/>
    <w:basedOn w:val="CTAMPH2"/>
    <w:link w:val="CTH2Char"/>
    <w:uiPriority w:val="99"/>
    <w:rsid w:val="00D02973"/>
    <w:pPr>
      <w:tabs>
        <w:tab w:val="num" w:pos="1134"/>
      </w:tabs>
    </w:pPr>
    <w:rPr>
      <w:sz w:val="36"/>
    </w:rPr>
  </w:style>
  <w:style w:type="character" w:customStyle="1" w:styleId="CTH2Char">
    <w:name w:val="CT H2 Char"/>
    <w:link w:val="CTH2"/>
    <w:uiPriority w:val="99"/>
    <w:locked/>
    <w:rsid w:val="00D02973"/>
    <w:rPr>
      <w:rFonts w:ascii="Calibri" w:eastAsia="Times New Roman" w:hAnsi="Calibri" w:cs="Arial"/>
      <w:b/>
      <w:color w:val="0D4D8B"/>
      <w:sz w:val="36"/>
      <w:szCs w:val="28"/>
    </w:rPr>
  </w:style>
  <w:style w:type="paragraph" w:styleId="ListBullet2">
    <w:name w:val="List Bullet 2"/>
    <w:basedOn w:val="Normal"/>
    <w:autoRedefine/>
    <w:uiPriority w:val="99"/>
    <w:rsid w:val="00D02973"/>
    <w:pPr>
      <w:spacing w:before="120" w:after="120" w:line="240" w:lineRule="auto"/>
      <w:jc w:val="both"/>
    </w:pPr>
    <w:rPr>
      <w:rFonts w:ascii="Calibri" w:eastAsia="Times New Roman" w:hAnsi="Calibri" w:cs="Times New Roman"/>
      <w:sz w:val="24"/>
      <w:szCs w:val="24"/>
    </w:rPr>
  </w:style>
  <w:style w:type="paragraph" w:customStyle="1" w:styleId="CTH3">
    <w:name w:val="CT H3"/>
    <w:basedOn w:val="Normal"/>
    <w:link w:val="CTH3Char"/>
    <w:uiPriority w:val="99"/>
    <w:rsid w:val="00D02973"/>
    <w:pPr>
      <w:tabs>
        <w:tab w:val="num" w:pos="1134"/>
      </w:tabs>
      <w:spacing w:before="240" w:after="240" w:line="240" w:lineRule="auto"/>
      <w:ind w:left="1134" w:hanging="1134"/>
      <w:jc w:val="both"/>
      <w:outlineLvl w:val="2"/>
    </w:pPr>
    <w:rPr>
      <w:rFonts w:ascii="Calibri" w:eastAsia="Times New Roman" w:hAnsi="Calibri" w:cs="Arial"/>
      <w:b/>
      <w:color w:val="0D4D8B"/>
      <w:sz w:val="24"/>
      <w:szCs w:val="24"/>
    </w:rPr>
  </w:style>
  <w:style w:type="character" w:customStyle="1" w:styleId="CTH3Char">
    <w:name w:val="CT H3 Char"/>
    <w:link w:val="CTH3"/>
    <w:uiPriority w:val="99"/>
    <w:locked/>
    <w:rsid w:val="00D02973"/>
    <w:rPr>
      <w:rFonts w:ascii="Calibri" w:eastAsia="Times New Roman" w:hAnsi="Calibri" w:cs="Arial"/>
      <w:b/>
      <w:color w:val="0D4D8B"/>
      <w:sz w:val="24"/>
      <w:szCs w:val="24"/>
    </w:rPr>
  </w:style>
  <w:style w:type="paragraph" w:styleId="BodyText3">
    <w:name w:val="Body Text 3"/>
    <w:basedOn w:val="Normal"/>
    <w:link w:val="BodyText3Char"/>
    <w:rsid w:val="00D02973"/>
    <w:pPr>
      <w:spacing w:before="80" w:after="120" w:line="240" w:lineRule="auto"/>
    </w:pPr>
    <w:rPr>
      <w:rFonts w:ascii="Arial" w:eastAsia="Times New Roman" w:hAnsi="Arial" w:cs="Times New Roman"/>
      <w:sz w:val="16"/>
      <w:szCs w:val="16"/>
    </w:rPr>
  </w:style>
  <w:style w:type="character" w:customStyle="1" w:styleId="BodyText3Char">
    <w:name w:val="Body Text 3 Char"/>
    <w:basedOn w:val="DefaultParagraphFont"/>
    <w:link w:val="BodyText3"/>
    <w:rsid w:val="00D02973"/>
    <w:rPr>
      <w:rFonts w:ascii="Arial" w:eastAsia="Times New Roman" w:hAnsi="Arial" w:cs="Times New Roman"/>
      <w:sz w:val="16"/>
      <w:szCs w:val="16"/>
    </w:rPr>
  </w:style>
  <w:style w:type="paragraph" w:customStyle="1" w:styleId="Tableheading0">
    <w:name w:val="Table heading"/>
    <w:basedOn w:val="Normal"/>
    <w:uiPriority w:val="99"/>
    <w:rsid w:val="00D02973"/>
    <w:pPr>
      <w:spacing w:before="20" w:after="20" w:line="240" w:lineRule="auto"/>
      <w:jc w:val="center"/>
    </w:pPr>
    <w:rPr>
      <w:rFonts w:ascii="Arial Narrow" w:eastAsia="Times New Roman" w:hAnsi="Arial Narrow" w:cs="Times New Roman"/>
      <w:b/>
      <w:spacing w:val="8"/>
      <w:sz w:val="20"/>
      <w:szCs w:val="20"/>
      <w:lang w:val="en-NZ"/>
    </w:rPr>
  </w:style>
  <w:style w:type="paragraph" w:styleId="TableofFigures">
    <w:name w:val="table of figures"/>
    <w:basedOn w:val="Normal"/>
    <w:next w:val="Normal"/>
    <w:uiPriority w:val="99"/>
    <w:rsid w:val="00D02973"/>
    <w:pPr>
      <w:spacing w:before="40" w:after="0" w:line="240" w:lineRule="auto"/>
    </w:pPr>
    <w:rPr>
      <w:rFonts w:ascii="Calibri" w:eastAsia="Times New Roman" w:hAnsi="Calibri" w:cs="Times New Roman"/>
      <w:sz w:val="20"/>
      <w:szCs w:val="20"/>
    </w:rPr>
  </w:style>
  <w:style w:type="paragraph" w:customStyle="1" w:styleId="TEANormalSummary">
    <w:name w:val="TEANormalSummary"/>
    <w:basedOn w:val="Normal"/>
    <w:uiPriority w:val="99"/>
    <w:rsid w:val="00D02973"/>
    <w:pPr>
      <w:spacing w:after="0" w:line="240" w:lineRule="auto"/>
      <w:ind w:left="567"/>
      <w:jc w:val="both"/>
    </w:pPr>
    <w:rPr>
      <w:rFonts w:ascii="Arial" w:eastAsia="Times New Roman" w:hAnsi="Arial" w:cs="Times New Roman"/>
      <w:i/>
      <w:szCs w:val="20"/>
      <w:lang w:val="en-US"/>
    </w:rPr>
  </w:style>
  <w:style w:type="paragraph" w:customStyle="1" w:styleId="CTHeading3">
    <w:name w:val="CT Heading 3"/>
    <w:basedOn w:val="CTH2"/>
    <w:link w:val="CTHeading3Char"/>
    <w:uiPriority w:val="99"/>
    <w:rsid w:val="00D02973"/>
    <w:pPr>
      <w:tabs>
        <w:tab w:val="clear" w:pos="643"/>
        <w:tab w:val="num" w:pos="1080"/>
      </w:tabs>
      <w:ind w:left="2313" w:hanging="2313"/>
    </w:pPr>
    <w:rPr>
      <w:color w:val="006BB6"/>
      <w:sz w:val="24"/>
      <w:szCs w:val="24"/>
    </w:rPr>
  </w:style>
  <w:style w:type="character" w:customStyle="1" w:styleId="CTHeading3Char">
    <w:name w:val="CT Heading 3 Char"/>
    <w:link w:val="CTHeading3"/>
    <w:uiPriority w:val="99"/>
    <w:locked/>
    <w:rsid w:val="00D02973"/>
    <w:rPr>
      <w:rFonts w:ascii="Calibri" w:eastAsia="Times New Roman" w:hAnsi="Calibri" w:cs="Arial"/>
      <w:b/>
      <w:color w:val="006BB6"/>
      <w:sz w:val="24"/>
      <w:szCs w:val="24"/>
    </w:rPr>
  </w:style>
  <w:style w:type="paragraph" w:customStyle="1" w:styleId="CTHeading4">
    <w:name w:val="CT Heading 4"/>
    <w:basedOn w:val="CTHeading3"/>
    <w:link w:val="CTHeading4Char"/>
    <w:uiPriority w:val="99"/>
    <w:rsid w:val="00D02973"/>
    <w:pPr>
      <w:tabs>
        <w:tab w:val="clear" w:pos="1080"/>
      </w:tabs>
      <w:ind w:left="1134" w:hanging="1134"/>
    </w:pPr>
  </w:style>
  <w:style w:type="character" w:customStyle="1" w:styleId="CTHeading4Char">
    <w:name w:val="CT Heading 4 Char"/>
    <w:link w:val="CTHeading4"/>
    <w:uiPriority w:val="99"/>
    <w:locked/>
    <w:rsid w:val="00D02973"/>
    <w:rPr>
      <w:rFonts w:ascii="Calibri" w:eastAsia="Times New Roman" w:hAnsi="Calibri" w:cs="Arial"/>
      <w:b/>
      <w:color w:val="006BB6"/>
      <w:sz w:val="24"/>
      <w:szCs w:val="24"/>
    </w:rPr>
  </w:style>
  <w:style w:type="paragraph" w:customStyle="1" w:styleId="BodyText1">
    <w:name w:val="Body Text1"/>
    <w:basedOn w:val="Normal"/>
    <w:autoRedefine/>
    <w:rsid w:val="00D02973"/>
    <w:pPr>
      <w:spacing w:after="120" w:line="240" w:lineRule="auto"/>
      <w:jc w:val="both"/>
    </w:pPr>
    <w:rPr>
      <w:rFonts w:ascii="Calibri" w:eastAsia="Times New Roman" w:hAnsi="Calibri" w:cs="Times New Roman"/>
      <w:sz w:val="24"/>
      <w:szCs w:val="24"/>
    </w:rPr>
  </w:style>
  <w:style w:type="character" w:styleId="FollowedHyperlink">
    <w:name w:val="FollowedHyperlink"/>
    <w:uiPriority w:val="99"/>
    <w:rsid w:val="00D02973"/>
    <w:rPr>
      <w:rFonts w:cs="Times New Roman"/>
      <w:color w:val="800080"/>
      <w:u w:val="single"/>
    </w:rPr>
  </w:style>
  <w:style w:type="paragraph" w:customStyle="1" w:styleId="Recomtext">
    <w:name w:val="Recom text"/>
    <w:basedOn w:val="Normal"/>
    <w:link w:val="RecomtextChar"/>
    <w:uiPriority w:val="99"/>
    <w:rsid w:val="00D02973"/>
    <w:pPr>
      <w:tabs>
        <w:tab w:val="left" w:pos="2552"/>
      </w:tabs>
      <w:spacing w:before="120" w:after="240" w:line="240" w:lineRule="auto"/>
      <w:ind w:left="2552" w:hanging="2552"/>
      <w:jc w:val="both"/>
    </w:pPr>
    <w:rPr>
      <w:rFonts w:ascii="Calibri" w:eastAsia="Times New Roman" w:hAnsi="Calibri" w:cs="Times New Roman"/>
      <w:b/>
      <w:i/>
      <w:sz w:val="24"/>
      <w:szCs w:val="20"/>
    </w:rPr>
  </w:style>
  <w:style w:type="character" w:customStyle="1" w:styleId="RecomtextChar">
    <w:name w:val="Recom text Char"/>
    <w:link w:val="Recomtext"/>
    <w:uiPriority w:val="99"/>
    <w:locked/>
    <w:rsid w:val="00D02973"/>
    <w:rPr>
      <w:rFonts w:ascii="Calibri" w:eastAsia="Times New Roman" w:hAnsi="Calibri" w:cs="Times New Roman"/>
      <w:b/>
      <w:i/>
      <w:sz w:val="24"/>
      <w:szCs w:val="20"/>
    </w:rPr>
  </w:style>
  <w:style w:type="paragraph" w:customStyle="1" w:styleId="BodyText4">
    <w:name w:val="Body Text4"/>
    <w:basedOn w:val="Normal"/>
    <w:uiPriority w:val="99"/>
    <w:rsid w:val="00D02973"/>
    <w:pPr>
      <w:tabs>
        <w:tab w:val="left" w:pos="2268"/>
      </w:tabs>
      <w:spacing w:before="120" w:after="120" w:line="240" w:lineRule="auto"/>
      <w:ind w:left="1701"/>
      <w:jc w:val="both"/>
    </w:pPr>
    <w:rPr>
      <w:rFonts w:ascii="AvantGarde Bk BT" w:eastAsia="Times New Roman" w:hAnsi="AvantGarde Bk BT" w:cs="Times New Roman"/>
      <w:szCs w:val="24"/>
    </w:rPr>
  </w:style>
  <w:style w:type="paragraph" w:customStyle="1" w:styleId="Para3">
    <w:name w:val="Para_3"/>
    <w:basedOn w:val="Normal"/>
    <w:rsid w:val="00D02973"/>
    <w:pPr>
      <w:spacing w:after="120" w:line="240" w:lineRule="auto"/>
      <w:ind w:left="1871"/>
      <w:jc w:val="both"/>
    </w:pPr>
    <w:rPr>
      <w:rFonts w:ascii="Arial" w:eastAsia="Times New Roman" w:hAnsi="Arial" w:cs="Times New Roman"/>
      <w:color w:val="000000"/>
      <w:szCs w:val="20"/>
      <w:lang w:val="en-GB" w:eastAsia="en-AU"/>
    </w:rPr>
  </w:style>
  <w:style w:type="character" w:customStyle="1" w:styleId="Heading2Char1">
    <w:name w:val="Heading 2 Char1"/>
    <w:aliases w:val="Heading 2 Char Char"/>
    <w:locked/>
    <w:rsid w:val="00D02973"/>
    <w:rPr>
      <w:rFonts w:ascii="Cambria" w:hAnsi="Cambria" w:cs="Times New Roman"/>
      <w:b/>
      <w:bCs/>
      <w:color w:val="4F81BD"/>
      <w:sz w:val="26"/>
      <w:szCs w:val="26"/>
    </w:rPr>
  </w:style>
  <w:style w:type="paragraph" w:customStyle="1" w:styleId="Body">
    <w:name w:val="Body"/>
    <w:aliases w:val="b"/>
    <w:rsid w:val="00D02973"/>
    <w:pPr>
      <w:spacing w:before="60" w:after="120" w:line="280" w:lineRule="atLeast"/>
    </w:pPr>
    <w:rPr>
      <w:rFonts w:ascii="Arial" w:eastAsia="Times New Roman" w:hAnsi="Arial" w:cs="Times New Roman"/>
      <w:sz w:val="20"/>
      <w:szCs w:val="20"/>
    </w:rPr>
  </w:style>
  <w:style w:type="paragraph" w:customStyle="1" w:styleId="Style2">
    <w:name w:val="Style2"/>
    <w:basedOn w:val="Heading3"/>
    <w:autoRedefine/>
    <w:rsid w:val="00D02973"/>
    <w:pPr>
      <w:keepLines w:val="0"/>
      <w:tabs>
        <w:tab w:val="num" w:pos="360"/>
        <w:tab w:val="left" w:pos="567"/>
      </w:tabs>
      <w:spacing w:before="240" w:after="60" w:line="240" w:lineRule="auto"/>
      <w:ind w:left="360" w:hanging="360"/>
    </w:pPr>
    <w:rPr>
      <w:rFonts w:ascii="Arial" w:eastAsia="Times New Roman" w:hAnsi="Arial" w:cs="Arial"/>
      <w:color w:val="auto"/>
      <w:sz w:val="24"/>
      <w:szCs w:val="26"/>
      <w:lang w:eastAsia="en-AU"/>
    </w:rPr>
  </w:style>
  <w:style w:type="paragraph" w:customStyle="1" w:styleId="APPENDICESHEADER">
    <w:name w:val="APPENDICESHEADER"/>
    <w:basedOn w:val="Header"/>
    <w:uiPriority w:val="99"/>
    <w:rsid w:val="00D02973"/>
    <w:pPr>
      <w:tabs>
        <w:tab w:val="clear" w:pos="4513"/>
        <w:tab w:val="clear" w:pos="9026"/>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uppressAutoHyphens/>
      <w:spacing w:line="240" w:lineRule="atLeast"/>
      <w:jc w:val="both"/>
    </w:pPr>
    <w:rPr>
      <w:rFonts w:ascii="Times New Roman" w:eastAsia="Times New Roman" w:hAnsi="Times New Roman" w:cs="Times New Roman"/>
      <w:b/>
      <w:caps/>
      <w:noProof/>
      <w:sz w:val="28"/>
      <w:szCs w:val="20"/>
    </w:rPr>
  </w:style>
  <w:style w:type="paragraph" w:customStyle="1" w:styleId="Style3">
    <w:name w:val="Style3"/>
    <w:basedOn w:val="Heading2"/>
    <w:rsid w:val="00D02973"/>
    <w:pPr>
      <w:keepLines w:val="0"/>
      <w:numPr>
        <w:numId w:val="2"/>
      </w:numPr>
      <w:tabs>
        <w:tab w:val="clear" w:pos="705"/>
      </w:tabs>
      <w:spacing w:before="120" w:after="120" w:line="240" w:lineRule="auto"/>
      <w:ind w:left="0" w:firstLine="0"/>
      <w:jc w:val="both"/>
    </w:pPr>
    <w:rPr>
      <w:rFonts w:ascii="Arial" w:eastAsia="Times New Roman" w:hAnsi="Arial" w:cs="Arial"/>
      <w:iCs/>
      <w:color w:val="auto"/>
      <w:sz w:val="22"/>
      <w:szCs w:val="22"/>
    </w:rPr>
  </w:style>
  <w:style w:type="paragraph" w:customStyle="1" w:styleId="Style8">
    <w:name w:val="Style8"/>
    <w:basedOn w:val="Heading1"/>
    <w:rsid w:val="00D02973"/>
    <w:pPr>
      <w:keepLines w:val="0"/>
      <w:tabs>
        <w:tab w:val="left" w:pos="567"/>
        <w:tab w:val="num" w:pos="705"/>
        <w:tab w:val="num" w:pos="1440"/>
      </w:tabs>
      <w:spacing w:before="240" w:after="120" w:line="240" w:lineRule="auto"/>
      <w:ind w:left="705" w:hanging="705"/>
    </w:pPr>
    <w:rPr>
      <w:rFonts w:ascii="Arial" w:eastAsia="Times New Roman" w:hAnsi="Arial" w:cs="Times New Roman"/>
      <w:bCs w:val="0"/>
      <w:color w:val="auto"/>
      <w:szCs w:val="20"/>
      <w:u w:val="single"/>
      <w:lang w:eastAsia="en-AU"/>
    </w:rPr>
  </w:style>
  <w:style w:type="paragraph" w:customStyle="1" w:styleId="Style4">
    <w:name w:val="Style4"/>
    <w:basedOn w:val="Heading1"/>
    <w:autoRedefine/>
    <w:rsid w:val="00D02973"/>
    <w:pPr>
      <w:keepLines w:val="0"/>
      <w:spacing w:before="240" w:after="120" w:line="240" w:lineRule="auto"/>
    </w:pPr>
    <w:rPr>
      <w:rFonts w:ascii="Arial" w:eastAsia="Times New Roman" w:hAnsi="Arial" w:cs="Times New Roman"/>
      <w:bCs w:val="0"/>
      <w:color w:val="auto"/>
      <w:szCs w:val="24"/>
    </w:rPr>
  </w:style>
  <w:style w:type="paragraph" w:customStyle="1" w:styleId="Heading3B">
    <w:name w:val="Heading 3B"/>
    <w:basedOn w:val="Heading3"/>
    <w:link w:val="Heading3BChar"/>
    <w:autoRedefine/>
    <w:rsid w:val="00D02973"/>
    <w:pPr>
      <w:keepLines w:val="0"/>
      <w:tabs>
        <w:tab w:val="num" w:pos="1430"/>
      </w:tabs>
      <w:spacing w:before="120" w:after="120" w:line="240" w:lineRule="auto"/>
      <w:ind w:left="1430" w:hanging="660"/>
      <w:jc w:val="both"/>
    </w:pPr>
    <w:rPr>
      <w:rFonts w:ascii="Arial" w:eastAsia="Times New Roman" w:hAnsi="Arial" w:cs="Arial"/>
      <w:i/>
      <w:color w:val="auto"/>
      <w:spacing w:val="-2"/>
    </w:rPr>
  </w:style>
  <w:style w:type="character" w:customStyle="1" w:styleId="Heading3BChar">
    <w:name w:val="Heading 3B Char"/>
    <w:link w:val="Heading3B"/>
    <w:locked/>
    <w:rsid w:val="00D02973"/>
    <w:rPr>
      <w:rFonts w:ascii="Arial" w:eastAsia="Times New Roman" w:hAnsi="Arial" w:cs="Arial"/>
      <w:b/>
      <w:bCs/>
      <w:i/>
      <w:spacing w:val="-2"/>
    </w:rPr>
  </w:style>
  <w:style w:type="character" w:customStyle="1" w:styleId="EmailStyle94">
    <w:name w:val="EmailStyle94"/>
    <w:uiPriority w:val="99"/>
    <w:semiHidden/>
    <w:rsid w:val="00D02973"/>
    <w:rPr>
      <w:rFonts w:ascii="Arial" w:hAnsi="Arial" w:cs="Arial"/>
      <w:color w:val="auto"/>
      <w:sz w:val="20"/>
      <w:szCs w:val="20"/>
    </w:rPr>
  </w:style>
  <w:style w:type="paragraph" w:customStyle="1" w:styleId="BodyText30">
    <w:name w:val="Body Text3"/>
    <w:basedOn w:val="Normal"/>
    <w:link w:val="BodyText3Char0"/>
    <w:autoRedefine/>
    <w:uiPriority w:val="99"/>
    <w:rsid w:val="00D02973"/>
    <w:pPr>
      <w:widowControl w:val="0"/>
      <w:spacing w:before="60" w:after="60" w:line="240" w:lineRule="auto"/>
      <w:jc w:val="both"/>
    </w:pPr>
    <w:rPr>
      <w:rFonts w:ascii="AvantGarde Bk BT" w:eastAsia="Calibri" w:hAnsi="AvantGarde Bk BT" w:cs="Times New Roman"/>
      <w:sz w:val="20"/>
      <w:szCs w:val="24"/>
    </w:rPr>
  </w:style>
  <w:style w:type="character" w:customStyle="1" w:styleId="BodyText3Char0">
    <w:name w:val="Body Text3 Char"/>
    <w:link w:val="BodyText30"/>
    <w:uiPriority w:val="99"/>
    <w:locked/>
    <w:rsid w:val="00D02973"/>
    <w:rPr>
      <w:rFonts w:ascii="AvantGarde Bk BT" w:eastAsia="Calibri" w:hAnsi="AvantGarde Bk BT" w:cs="Times New Roman"/>
      <w:sz w:val="20"/>
      <w:szCs w:val="24"/>
    </w:rPr>
  </w:style>
  <w:style w:type="paragraph" w:customStyle="1" w:styleId="Bullet1">
    <w:name w:val="Bullet1"/>
    <w:basedOn w:val="Normal"/>
    <w:autoRedefine/>
    <w:rsid w:val="00D02973"/>
    <w:pPr>
      <w:numPr>
        <w:numId w:val="3"/>
      </w:numPr>
      <w:spacing w:before="60" w:after="60" w:line="240" w:lineRule="auto"/>
      <w:jc w:val="both"/>
    </w:pPr>
    <w:rPr>
      <w:rFonts w:ascii="AvantGarde Bk BT" w:eastAsia="Calibri" w:hAnsi="AvantGarde Bk BT" w:cs="Times New Roman"/>
      <w:sz w:val="20"/>
      <w:szCs w:val="24"/>
    </w:rPr>
  </w:style>
  <w:style w:type="paragraph" w:customStyle="1" w:styleId="romanbullet4">
    <w:name w:val="roman bullet4"/>
    <w:basedOn w:val="Normal"/>
    <w:uiPriority w:val="99"/>
    <w:rsid w:val="00D02973"/>
    <w:pPr>
      <w:spacing w:after="0" w:line="240" w:lineRule="auto"/>
      <w:jc w:val="both"/>
    </w:pPr>
    <w:rPr>
      <w:rFonts w:ascii="AvantGarde Bk BT" w:eastAsia="Calibri" w:hAnsi="AvantGarde Bk BT" w:cs="Times New Roman"/>
      <w:sz w:val="20"/>
      <w:szCs w:val="20"/>
    </w:rPr>
  </w:style>
  <w:style w:type="paragraph" w:customStyle="1" w:styleId="MainText">
    <w:name w:val="Main Text"/>
    <w:rsid w:val="00D02973"/>
    <w:pPr>
      <w:spacing w:before="240" w:after="0" w:line="240" w:lineRule="auto"/>
      <w:jc w:val="both"/>
    </w:pPr>
    <w:rPr>
      <w:rFonts w:ascii="Arial" w:eastAsia="Times New Roman" w:hAnsi="Arial" w:cs="Times New Roman"/>
      <w:sz w:val="20"/>
      <w:szCs w:val="20"/>
    </w:rPr>
  </w:style>
  <w:style w:type="paragraph" w:customStyle="1" w:styleId="Style40">
    <w:name w:val="Style 4"/>
    <w:basedOn w:val="Normal"/>
    <w:rsid w:val="00D02973"/>
    <w:pPr>
      <w:widowControl w:val="0"/>
      <w:autoSpaceDE w:val="0"/>
      <w:autoSpaceDN w:val="0"/>
      <w:spacing w:after="0" w:line="252" w:lineRule="exact"/>
      <w:ind w:left="504"/>
      <w:jc w:val="both"/>
    </w:pPr>
    <w:rPr>
      <w:rFonts w:ascii="Times New Roman" w:eastAsia="Times New Roman" w:hAnsi="Times New Roman" w:cs="Times New Roman"/>
      <w:sz w:val="24"/>
      <w:szCs w:val="24"/>
      <w:lang w:val="en-US" w:eastAsia="en-AU"/>
    </w:rPr>
  </w:style>
  <w:style w:type="paragraph" w:customStyle="1" w:styleId="msolistparagraph0">
    <w:name w:val="msolistparagraph"/>
    <w:basedOn w:val="Normal"/>
    <w:uiPriority w:val="99"/>
    <w:rsid w:val="00D02973"/>
    <w:pPr>
      <w:spacing w:after="0" w:line="240" w:lineRule="auto"/>
      <w:ind w:left="720"/>
    </w:pPr>
    <w:rPr>
      <w:rFonts w:ascii="Times New Roman" w:eastAsia="Calibri" w:hAnsi="Times New Roman" w:cs="Times New Roman"/>
      <w:sz w:val="24"/>
      <w:szCs w:val="24"/>
      <w:lang w:eastAsia="en-AU"/>
    </w:rPr>
  </w:style>
  <w:style w:type="paragraph" w:customStyle="1" w:styleId="Style30">
    <w:name w:val="Style 3"/>
    <w:basedOn w:val="Normal"/>
    <w:rsid w:val="00D02973"/>
    <w:pPr>
      <w:widowControl w:val="0"/>
      <w:autoSpaceDE w:val="0"/>
      <w:autoSpaceDN w:val="0"/>
      <w:spacing w:after="0" w:line="240" w:lineRule="auto"/>
      <w:jc w:val="center"/>
    </w:pPr>
    <w:rPr>
      <w:rFonts w:ascii="Times New Roman" w:eastAsia="Calibri" w:hAnsi="Times New Roman" w:cs="Times New Roman"/>
      <w:sz w:val="24"/>
      <w:szCs w:val="24"/>
      <w:lang w:val="en-US" w:eastAsia="en-AU"/>
    </w:rPr>
  </w:style>
  <w:style w:type="character" w:customStyle="1" w:styleId="EmailStyle104">
    <w:name w:val="EmailStyle104"/>
    <w:uiPriority w:val="99"/>
    <w:semiHidden/>
    <w:rsid w:val="00D02973"/>
    <w:rPr>
      <w:rFonts w:ascii="Arial" w:hAnsi="Arial" w:cs="Arial"/>
      <w:color w:val="auto"/>
      <w:sz w:val="20"/>
      <w:szCs w:val="20"/>
    </w:rPr>
  </w:style>
  <w:style w:type="paragraph" w:customStyle="1" w:styleId="Heading2A">
    <w:name w:val="Heading '2A'"/>
    <w:basedOn w:val="Normal"/>
    <w:autoRedefine/>
    <w:rsid w:val="00D02973"/>
    <w:pPr>
      <w:keepNext/>
      <w:numPr>
        <w:numId w:val="4"/>
      </w:numPr>
      <w:tabs>
        <w:tab w:val="left" w:pos="567"/>
      </w:tabs>
      <w:spacing w:before="120" w:after="120" w:line="240" w:lineRule="auto"/>
      <w:jc w:val="both"/>
      <w:outlineLvl w:val="1"/>
    </w:pPr>
    <w:rPr>
      <w:rFonts w:ascii="Arial" w:eastAsia="Times New Roman" w:hAnsi="Arial" w:cs="Times New Roman"/>
      <w:b/>
      <w:bCs/>
      <w:sz w:val="24"/>
    </w:rPr>
  </w:style>
  <w:style w:type="paragraph" w:customStyle="1" w:styleId="ctampbody0">
    <w:name w:val="ctampbody"/>
    <w:basedOn w:val="Normal"/>
    <w:uiPriority w:val="99"/>
    <w:rsid w:val="00D02973"/>
    <w:pPr>
      <w:spacing w:after="240" w:line="240" w:lineRule="auto"/>
      <w:jc w:val="both"/>
    </w:pPr>
    <w:rPr>
      <w:rFonts w:ascii="Calibri" w:eastAsia="Calibri" w:hAnsi="Calibri" w:cs="Times New Roman"/>
      <w:sz w:val="24"/>
      <w:szCs w:val="24"/>
      <w:lang w:eastAsia="en-AU"/>
    </w:rPr>
  </w:style>
  <w:style w:type="paragraph" w:customStyle="1" w:styleId="bullet10">
    <w:name w:val="bullet1"/>
    <w:basedOn w:val="Normal"/>
    <w:rsid w:val="00D02973"/>
    <w:pPr>
      <w:numPr>
        <w:numId w:val="5"/>
      </w:numPr>
      <w:spacing w:after="0" w:line="240" w:lineRule="auto"/>
    </w:pPr>
    <w:rPr>
      <w:rFonts w:ascii="Arial" w:eastAsia="Times New Roman" w:hAnsi="Arial" w:cs="Times New Roman"/>
      <w:szCs w:val="20"/>
      <w:lang w:eastAsia="en-AU"/>
    </w:rPr>
  </w:style>
  <w:style w:type="paragraph" w:customStyle="1" w:styleId="Normal3">
    <w:name w:val="Normal 3"/>
    <w:basedOn w:val="Normal"/>
    <w:rsid w:val="00D02973"/>
    <w:pPr>
      <w:spacing w:after="0" w:line="240" w:lineRule="auto"/>
      <w:ind w:left="1985"/>
      <w:jc w:val="both"/>
    </w:pPr>
    <w:rPr>
      <w:rFonts w:ascii="Swis721 Cn BT" w:eastAsia="Times New Roman" w:hAnsi="Swis721 Cn BT" w:cs="Times New Roman"/>
      <w:szCs w:val="20"/>
      <w:lang w:val="en-US"/>
    </w:rPr>
  </w:style>
  <w:style w:type="paragraph" w:customStyle="1" w:styleId="Normal4">
    <w:name w:val="Normal 4"/>
    <w:basedOn w:val="Normal"/>
    <w:rsid w:val="00D02973"/>
    <w:pPr>
      <w:spacing w:after="0" w:line="240" w:lineRule="auto"/>
      <w:ind w:left="2552"/>
      <w:jc w:val="both"/>
    </w:pPr>
    <w:rPr>
      <w:rFonts w:ascii="Swis721 Cn BT" w:eastAsia="Times New Roman" w:hAnsi="Swis721 Cn BT" w:cs="Times New Roman"/>
      <w:szCs w:val="20"/>
      <w:lang w:val="en-US"/>
    </w:rPr>
  </w:style>
  <w:style w:type="paragraph" w:styleId="BlockText">
    <w:name w:val="Block Text"/>
    <w:basedOn w:val="Normal"/>
    <w:rsid w:val="00D02973"/>
    <w:pPr>
      <w:spacing w:after="0" w:line="240" w:lineRule="auto"/>
      <w:ind w:left="284" w:right="283"/>
      <w:jc w:val="both"/>
    </w:pPr>
    <w:rPr>
      <w:rFonts w:ascii="Arial" w:eastAsia="Times New Roman" w:hAnsi="Arial" w:cs="Times New Roman"/>
      <w:szCs w:val="20"/>
      <w:lang w:eastAsia="en-AU"/>
    </w:rPr>
  </w:style>
  <w:style w:type="character" w:customStyle="1" w:styleId="Heading212pt">
    <w:name w:val="Heading 2 + 12 pt"/>
    <w:aliases w:val="Bold,Justified"/>
    <w:basedOn w:val="DefaultParagraphFont"/>
    <w:rsid w:val="00D02973"/>
    <w:rPr>
      <w:b/>
    </w:rPr>
  </w:style>
  <w:style w:type="character" w:customStyle="1" w:styleId="Italic">
    <w:name w:val="Italic"/>
    <w:basedOn w:val="DefaultParagraphFont"/>
    <w:rsid w:val="00D02973"/>
    <w:rPr>
      <w:i/>
      <w:sz w:val="24"/>
      <w:szCs w:val="20"/>
    </w:rPr>
  </w:style>
  <w:style w:type="character" w:customStyle="1" w:styleId="EmailStyle95">
    <w:name w:val="EmailStyle95"/>
    <w:basedOn w:val="DefaultParagraphFont"/>
    <w:uiPriority w:val="99"/>
    <w:semiHidden/>
    <w:rsid w:val="00D02973"/>
    <w:rPr>
      <w:rFonts w:ascii="Arial" w:hAnsi="Arial" w:cs="Arial"/>
      <w:color w:val="auto"/>
      <w:sz w:val="20"/>
      <w:szCs w:val="20"/>
    </w:rPr>
  </w:style>
  <w:style w:type="character" w:customStyle="1" w:styleId="EmailStyle105">
    <w:name w:val="EmailStyle105"/>
    <w:basedOn w:val="DefaultParagraphFont"/>
    <w:uiPriority w:val="99"/>
    <w:semiHidden/>
    <w:rsid w:val="00D02973"/>
    <w:rPr>
      <w:rFonts w:ascii="Arial" w:hAnsi="Arial" w:cs="Arial"/>
      <w:color w:val="auto"/>
      <w:sz w:val="20"/>
      <w:szCs w:val="20"/>
    </w:rPr>
  </w:style>
  <w:style w:type="paragraph" w:customStyle="1" w:styleId="CTAMPH3">
    <w:name w:val="CT AMP H3"/>
    <w:basedOn w:val="Normal"/>
    <w:next w:val="CTAMPBody"/>
    <w:uiPriority w:val="99"/>
    <w:rsid w:val="00D02973"/>
    <w:pPr>
      <w:numPr>
        <w:ilvl w:val="2"/>
      </w:numPr>
      <w:tabs>
        <w:tab w:val="num" w:pos="1134"/>
      </w:tabs>
      <w:spacing w:before="240" w:after="240" w:line="240" w:lineRule="auto"/>
      <w:ind w:left="1134" w:hanging="1134"/>
      <w:jc w:val="both"/>
      <w:outlineLvl w:val="2"/>
    </w:pPr>
    <w:rPr>
      <w:rFonts w:ascii="Calibri" w:eastAsia="Calibri" w:hAnsi="Calibri" w:cs="Arial"/>
      <w:b/>
      <w:color w:val="17365D"/>
      <w:sz w:val="24"/>
      <w:szCs w:val="24"/>
    </w:rPr>
  </w:style>
  <w:style w:type="paragraph" w:customStyle="1" w:styleId="Bullet3">
    <w:name w:val="Bullet3"/>
    <w:basedOn w:val="Normal"/>
    <w:autoRedefine/>
    <w:uiPriority w:val="99"/>
    <w:rsid w:val="00D02973"/>
    <w:pPr>
      <w:numPr>
        <w:numId w:val="6"/>
      </w:numPr>
      <w:spacing w:before="60" w:after="60" w:line="240" w:lineRule="auto"/>
      <w:jc w:val="both"/>
    </w:pPr>
    <w:rPr>
      <w:rFonts w:ascii="Arial" w:eastAsia="Calibri" w:hAnsi="Arial" w:cs="Arial"/>
      <w:sz w:val="20"/>
      <w:szCs w:val="24"/>
    </w:rPr>
  </w:style>
  <w:style w:type="paragraph" w:customStyle="1" w:styleId="Style5">
    <w:name w:val="Style5"/>
    <w:basedOn w:val="Heading2"/>
    <w:autoRedefine/>
    <w:rsid w:val="00D02973"/>
    <w:pPr>
      <w:keepLines w:val="0"/>
      <w:tabs>
        <w:tab w:val="num" w:pos="1600"/>
      </w:tabs>
      <w:spacing w:before="120" w:after="120" w:line="240" w:lineRule="auto"/>
      <w:ind w:left="1225" w:hanging="505"/>
      <w:jc w:val="both"/>
    </w:pPr>
    <w:rPr>
      <w:rFonts w:ascii="Arial Bold" w:eastAsia="Calibri" w:hAnsi="Arial Bold" w:cs="Arial"/>
      <w:iCs/>
      <w:color w:val="auto"/>
      <w:sz w:val="24"/>
      <w:szCs w:val="22"/>
    </w:rPr>
  </w:style>
  <w:style w:type="paragraph" w:styleId="BodyText20">
    <w:name w:val="Body Text 2"/>
    <w:basedOn w:val="Normal"/>
    <w:link w:val="BodyText2Char"/>
    <w:unhideWhenUsed/>
    <w:rsid w:val="00D02973"/>
    <w:pPr>
      <w:spacing w:before="80" w:after="120" w:line="480" w:lineRule="auto"/>
    </w:pPr>
    <w:rPr>
      <w:rFonts w:ascii="Arial" w:eastAsia="Times New Roman" w:hAnsi="Arial" w:cs="Times New Roman"/>
      <w:sz w:val="20"/>
      <w:szCs w:val="20"/>
    </w:rPr>
  </w:style>
  <w:style w:type="character" w:customStyle="1" w:styleId="BodyText2Char">
    <w:name w:val="Body Text 2 Char"/>
    <w:basedOn w:val="DefaultParagraphFont"/>
    <w:link w:val="BodyText20"/>
    <w:rsid w:val="00D02973"/>
    <w:rPr>
      <w:rFonts w:ascii="Arial" w:eastAsia="Times New Roman" w:hAnsi="Arial" w:cs="Times New Roman"/>
      <w:sz w:val="20"/>
      <w:szCs w:val="20"/>
    </w:rPr>
  </w:style>
  <w:style w:type="character" w:customStyle="1" w:styleId="EmailStyle119">
    <w:name w:val="EmailStyle119"/>
    <w:basedOn w:val="DefaultParagraphFont"/>
    <w:semiHidden/>
    <w:rsid w:val="00D02973"/>
    <w:rPr>
      <w:rFonts w:ascii="Arial" w:hAnsi="Arial" w:cs="Arial"/>
      <w:color w:val="auto"/>
      <w:sz w:val="20"/>
      <w:szCs w:val="20"/>
    </w:rPr>
  </w:style>
  <w:style w:type="paragraph" w:styleId="TOC8">
    <w:name w:val="toc 8"/>
    <w:basedOn w:val="Normal"/>
    <w:next w:val="Normal"/>
    <w:autoRedefine/>
    <w:uiPriority w:val="39"/>
    <w:unhideWhenUsed/>
    <w:rsid w:val="00D02973"/>
    <w:pPr>
      <w:spacing w:before="80" w:after="100" w:line="240" w:lineRule="auto"/>
      <w:ind w:left="1400"/>
    </w:pPr>
    <w:rPr>
      <w:rFonts w:ascii="Arial" w:eastAsia="Times New Roman" w:hAnsi="Arial" w:cs="Times New Roman"/>
      <w:sz w:val="20"/>
      <w:szCs w:val="20"/>
    </w:rPr>
  </w:style>
  <w:style w:type="paragraph" w:customStyle="1" w:styleId="HeadingA">
    <w:name w:val="Heading 'A'"/>
    <w:basedOn w:val="Heading2"/>
    <w:next w:val="PlainText"/>
    <w:autoRedefine/>
    <w:rsid w:val="00D02973"/>
    <w:pPr>
      <w:keepLines w:val="0"/>
      <w:tabs>
        <w:tab w:val="num" w:pos="360"/>
        <w:tab w:val="left" w:pos="567"/>
      </w:tabs>
      <w:spacing w:before="120" w:after="120" w:line="240" w:lineRule="auto"/>
      <w:ind w:left="360" w:hanging="360"/>
      <w:jc w:val="both"/>
    </w:pPr>
    <w:rPr>
      <w:rFonts w:ascii="Times New Roman" w:eastAsia="Times New Roman" w:hAnsi="Times New Roman" w:cs="Times New Roman"/>
      <w:color w:val="auto"/>
      <w:sz w:val="24"/>
      <w:szCs w:val="22"/>
    </w:rPr>
  </w:style>
  <w:style w:type="paragraph" w:customStyle="1" w:styleId="HeadingA2">
    <w:name w:val="Heading 'A2'"/>
    <w:basedOn w:val="Heading2"/>
    <w:autoRedefine/>
    <w:rsid w:val="00D02973"/>
    <w:pPr>
      <w:keepLines w:val="0"/>
      <w:numPr>
        <w:ilvl w:val="1"/>
        <w:numId w:val="7"/>
      </w:numPr>
      <w:tabs>
        <w:tab w:val="clear" w:pos="1342"/>
        <w:tab w:val="left" w:pos="1134"/>
        <w:tab w:val="num" w:pos="1996"/>
      </w:tabs>
      <w:spacing w:before="120" w:after="120" w:line="240" w:lineRule="auto"/>
      <w:ind w:left="1996" w:hanging="720"/>
      <w:jc w:val="both"/>
    </w:pPr>
    <w:rPr>
      <w:rFonts w:ascii="Times New Roman" w:eastAsia="Times New Roman" w:hAnsi="Times New Roman" w:cs="Times New Roman"/>
      <w:color w:val="auto"/>
      <w:sz w:val="22"/>
      <w:szCs w:val="22"/>
    </w:rPr>
  </w:style>
  <w:style w:type="paragraph" w:customStyle="1" w:styleId="HeadingA3">
    <w:name w:val="Heading 'A3'"/>
    <w:basedOn w:val="HeadingA2"/>
    <w:autoRedefine/>
    <w:rsid w:val="00D02973"/>
    <w:pPr>
      <w:numPr>
        <w:ilvl w:val="0"/>
        <w:numId w:val="0"/>
      </w:numPr>
      <w:tabs>
        <w:tab w:val="clear" w:pos="1134"/>
        <w:tab w:val="left" w:pos="1210"/>
        <w:tab w:val="num" w:pos="1440"/>
      </w:tabs>
      <w:ind w:left="1440" w:hanging="360"/>
    </w:pPr>
  </w:style>
  <w:style w:type="paragraph" w:styleId="BodyTextIndent">
    <w:name w:val="Body Text Indent"/>
    <w:basedOn w:val="Normal"/>
    <w:link w:val="BodyTextIndentChar"/>
    <w:rsid w:val="00D02973"/>
    <w:pPr>
      <w:spacing w:after="0" w:line="240" w:lineRule="auto"/>
      <w:ind w:left="720"/>
      <w:jc w:val="both"/>
    </w:pPr>
    <w:rPr>
      <w:rFonts w:ascii="Arial" w:eastAsia="Times New Roman" w:hAnsi="Arial" w:cs="Times New Roman"/>
      <w:snapToGrid w:val="0"/>
      <w:color w:val="0000FF"/>
      <w:szCs w:val="20"/>
    </w:rPr>
  </w:style>
  <w:style w:type="character" w:customStyle="1" w:styleId="BodyTextIndentChar">
    <w:name w:val="Body Text Indent Char"/>
    <w:basedOn w:val="DefaultParagraphFont"/>
    <w:link w:val="BodyTextIndent"/>
    <w:rsid w:val="00D02973"/>
    <w:rPr>
      <w:rFonts w:ascii="Arial" w:eastAsia="Times New Roman" w:hAnsi="Arial" w:cs="Times New Roman"/>
      <w:snapToGrid w:val="0"/>
      <w:color w:val="0000FF"/>
      <w:szCs w:val="20"/>
    </w:rPr>
  </w:style>
  <w:style w:type="paragraph" w:customStyle="1" w:styleId="Style1">
    <w:name w:val="Style 1"/>
    <w:basedOn w:val="Normal"/>
    <w:rsid w:val="00D02973"/>
    <w:pPr>
      <w:widowControl w:val="0"/>
      <w:autoSpaceDE w:val="0"/>
      <w:autoSpaceDN w:val="0"/>
      <w:spacing w:after="0" w:line="816" w:lineRule="exact"/>
    </w:pPr>
    <w:rPr>
      <w:rFonts w:ascii="Times New Roman" w:eastAsia="Times New Roman" w:hAnsi="Times New Roman" w:cs="Times New Roman"/>
      <w:sz w:val="24"/>
      <w:szCs w:val="24"/>
      <w:lang w:val="en-US" w:eastAsia="en-AU"/>
    </w:rPr>
  </w:style>
  <w:style w:type="paragraph" w:styleId="BodyTextIndent2">
    <w:name w:val="Body Text Indent 2"/>
    <w:basedOn w:val="Normal"/>
    <w:link w:val="BodyTextIndent2Char"/>
    <w:rsid w:val="00D02973"/>
    <w:pPr>
      <w:spacing w:after="120"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D02973"/>
    <w:rPr>
      <w:rFonts w:ascii="Times New Roman" w:eastAsia="Times New Roman" w:hAnsi="Times New Roman" w:cs="Times New Roman"/>
      <w:sz w:val="24"/>
      <w:szCs w:val="24"/>
    </w:rPr>
  </w:style>
  <w:style w:type="paragraph" w:customStyle="1" w:styleId="Style100">
    <w:name w:val="Style10"/>
    <w:basedOn w:val="Normal"/>
    <w:link w:val="Style10Char1"/>
    <w:autoRedefine/>
    <w:rsid w:val="00D02973"/>
    <w:pPr>
      <w:keepNext/>
      <w:spacing w:after="120" w:line="240" w:lineRule="auto"/>
      <w:ind w:left="1501" w:hanging="709"/>
      <w:jc w:val="both"/>
      <w:outlineLvl w:val="2"/>
    </w:pPr>
    <w:rPr>
      <w:rFonts w:ascii="Arial" w:eastAsia="Times New Roman" w:hAnsi="Arial" w:cs="Times New Roman"/>
      <w:b/>
      <w:szCs w:val="20"/>
      <w:lang w:eastAsia="en-AU"/>
    </w:rPr>
  </w:style>
  <w:style w:type="character" w:customStyle="1" w:styleId="Style10Char1">
    <w:name w:val="Style10 Char1"/>
    <w:basedOn w:val="DefaultParagraphFont"/>
    <w:link w:val="Style100"/>
    <w:rsid w:val="00D02973"/>
    <w:rPr>
      <w:rFonts w:ascii="Arial" w:eastAsia="Times New Roman" w:hAnsi="Arial" w:cs="Times New Roman"/>
      <w:b/>
      <w:szCs w:val="20"/>
      <w:lang w:eastAsia="en-AU"/>
    </w:rPr>
  </w:style>
  <w:style w:type="paragraph" w:customStyle="1" w:styleId="Style11">
    <w:name w:val="Style1"/>
    <w:basedOn w:val="Heading2"/>
    <w:autoRedefine/>
    <w:rsid w:val="00D02973"/>
    <w:pPr>
      <w:keepLines w:val="0"/>
      <w:spacing w:before="120" w:after="120" w:line="240" w:lineRule="auto"/>
      <w:ind w:left="788" w:hanging="431"/>
      <w:jc w:val="both"/>
    </w:pPr>
    <w:rPr>
      <w:rFonts w:ascii="Arial" w:eastAsia="Times New Roman" w:hAnsi="Arial" w:cs="Arial"/>
      <w:iCs/>
      <w:color w:val="auto"/>
      <w:sz w:val="22"/>
      <w:szCs w:val="22"/>
    </w:rPr>
  </w:style>
  <w:style w:type="paragraph" w:customStyle="1" w:styleId="Style6">
    <w:name w:val="Style6"/>
    <w:basedOn w:val="Heading3"/>
    <w:autoRedefine/>
    <w:rsid w:val="00D02973"/>
    <w:pPr>
      <w:keepLines w:val="0"/>
      <w:spacing w:before="0" w:after="120" w:line="240" w:lineRule="auto"/>
      <w:ind w:left="2520" w:hanging="360"/>
    </w:pPr>
    <w:rPr>
      <w:rFonts w:ascii="Arial" w:eastAsia="Times New Roman" w:hAnsi="Arial" w:cs="Arial"/>
      <w:color w:val="auto"/>
      <w:szCs w:val="26"/>
    </w:rPr>
  </w:style>
  <w:style w:type="paragraph" w:customStyle="1" w:styleId="Style70">
    <w:name w:val="Style7"/>
    <w:basedOn w:val="Style6"/>
    <w:rsid w:val="00D02973"/>
    <w:pPr>
      <w:ind w:left="1571"/>
    </w:pPr>
  </w:style>
  <w:style w:type="paragraph" w:customStyle="1" w:styleId="Style9">
    <w:name w:val="Style9"/>
    <w:basedOn w:val="Style6"/>
    <w:link w:val="Style9Char"/>
    <w:rsid w:val="00D02973"/>
    <w:pPr>
      <w:numPr>
        <w:numId w:val="8"/>
      </w:numPr>
      <w:tabs>
        <w:tab w:val="clear" w:pos="567"/>
        <w:tab w:val="num" w:pos="1600"/>
      </w:tabs>
      <w:ind w:left="1600" w:hanging="720"/>
    </w:pPr>
  </w:style>
  <w:style w:type="character" w:customStyle="1" w:styleId="Style9Char">
    <w:name w:val="Style9 Char"/>
    <w:basedOn w:val="DefaultParagraphFont"/>
    <w:link w:val="Style9"/>
    <w:locked/>
    <w:rsid w:val="00D02973"/>
    <w:rPr>
      <w:rFonts w:ascii="Arial" w:eastAsia="Times New Roman" w:hAnsi="Arial" w:cs="Arial"/>
      <w:b/>
      <w:bCs/>
      <w:szCs w:val="26"/>
    </w:rPr>
  </w:style>
  <w:style w:type="paragraph" w:customStyle="1" w:styleId="BulletList2">
    <w:name w:val="Bullet List 2"/>
    <w:basedOn w:val="Normal"/>
    <w:autoRedefine/>
    <w:rsid w:val="00D02973"/>
    <w:pPr>
      <w:tabs>
        <w:tab w:val="num" w:pos="1080"/>
      </w:tabs>
      <w:spacing w:after="0" w:line="240" w:lineRule="auto"/>
      <w:ind w:left="1080" w:hanging="360"/>
      <w:jc w:val="both"/>
    </w:pPr>
    <w:rPr>
      <w:rFonts w:ascii="Arial" w:eastAsia="Times New Roman" w:hAnsi="Arial" w:cs="Times New Roman"/>
      <w:szCs w:val="20"/>
    </w:rPr>
  </w:style>
  <w:style w:type="paragraph" w:customStyle="1" w:styleId="Bullet4">
    <w:name w:val="Bullet4"/>
    <w:basedOn w:val="Normal"/>
    <w:rsid w:val="00D02973"/>
    <w:pPr>
      <w:numPr>
        <w:numId w:val="9"/>
      </w:numPr>
      <w:tabs>
        <w:tab w:val="clear" w:pos="1527"/>
        <w:tab w:val="num" w:pos="2552"/>
      </w:tabs>
      <w:spacing w:after="0" w:line="240" w:lineRule="auto"/>
      <w:ind w:left="2552" w:hanging="284"/>
      <w:jc w:val="both"/>
    </w:pPr>
    <w:rPr>
      <w:rFonts w:ascii="Arial" w:eastAsia="Times New Roman" w:hAnsi="Arial" w:cs="Times New Roman"/>
      <w:lang w:eastAsia="en-AU"/>
    </w:rPr>
  </w:style>
  <w:style w:type="paragraph" w:styleId="List">
    <w:name w:val="List"/>
    <w:basedOn w:val="Normal"/>
    <w:rsid w:val="00D02973"/>
    <w:pPr>
      <w:widowControl w:val="0"/>
      <w:tabs>
        <w:tab w:val="num" w:pos="720"/>
      </w:tabs>
      <w:spacing w:after="0" w:line="240" w:lineRule="auto"/>
      <w:ind w:left="720" w:hanging="360"/>
    </w:pPr>
    <w:rPr>
      <w:rFonts w:ascii="Arial" w:eastAsia="Times New Roman" w:hAnsi="Arial" w:cs="Times New Roman"/>
      <w:sz w:val="20"/>
      <w:szCs w:val="20"/>
      <w:lang w:val="en-US"/>
    </w:rPr>
  </w:style>
  <w:style w:type="paragraph" w:customStyle="1" w:styleId="ABC2">
    <w:name w:val="ABC 2"/>
    <w:basedOn w:val="Normal"/>
    <w:next w:val="Para2"/>
    <w:rsid w:val="00D02973"/>
    <w:pPr>
      <w:tabs>
        <w:tab w:val="num" w:pos="967"/>
        <w:tab w:val="left" w:pos="1134"/>
        <w:tab w:val="left" w:pos="1560"/>
      </w:tabs>
      <w:spacing w:before="40" w:after="40" w:line="240" w:lineRule="auto"/>
      <w:ind w:left="967" w:hanging="567"/>
      <w:jc w:val="both"/>
    </w:pPr>
    <w:rPr>
      <w:rFonts w:ascii="Arial" w:eastAsia="Times New Roman" w:hAnsi="Arial" w:cs="Times New Roman"/>
      <w:szCs w:val="20"/>
      <w:lang w:eastAsia="en-AU"/>
    </w:rPr>
  </w:style>
  <w:style w:type="paragraph" w:styleId="ListBullet">
    <w:name w:val="List Bullet"/>
    <w:basedOn w:val="List"/>
    <w:autoRedefine/>
    <w:rsid w:val="00D02973"/>
    <w:pPr>
      <w:widowControl/>
      <w:tabs>
        <w:tab w:val="clear" w:pos="720"/>
        <w:tab w:val="num" w:pos="383"/>
      </w:tabs>
      <w:spacing w:after="220" w:line="220" w:lineRule="atLeast"/>
      <w:ind w:left="1440" w:right="720"/>
    </w:pPr>
    <w:rPr>
      <w:rFonts w:ascii="Times New Roman" w:hAnsi="Times New Roman"/>
      <w:b/>
    </w:rPr>
  </w:style>
  <w:style w:type="paragraph" w:customStyle="1" w:styleId="BodyTextKeep">
    <w:name w:val="Body Text Keep"/>
    <w:basedOn w:val="BodyText"/>
    <w:rsid w:val="00D02973"/>
    <w:pPr>
      <w:keepNext/>
      <w:spacing w:after="220" w:line="220" w:lineRule="atLeast"/>
      <w:ind w:left="1080"/>
    </w:pPr>
    <w:rPr>
      <w:rFonts w:eastAsia="Times New Roman"/>
      <w:lang w:val="en-US" w:eastAsia="en-US"/>
    </w:rPr>
  </w:style>
  <w:style w:type="paragraph" w:customStyle="1" w:styleId="Bullet2">
    <w:name w:val="Bullet 2"/>
    <w:basedOn w:val="Normal"/>
    <w:next w:val="Para2"/>
    <w:rsid w:val="00D02973"/>
    <w:pPr>
      <w:tabs>
        <w:tab w:val="num" w:pos="383"/>
        <w:tab w:val="left" w:pos="1134"/>
      </w:tabs>
      <w:spacing w:before="40" w:after="40" w:line="240" w:lineRule="auto"/>
      <w:ind w:left="383" w:hanging="360"/>
      <w:jc w:val="both"/>
    </w:pPr>
    <w:rPr>
      <w:rFonts w:ascii="Arial" w:eastAsia="Times New Roman" w:hAnsi="Arial" w:cs="Times New Roman"/>
      <w:szCs w:val="20"/>
      <w:lang w:eastAsia="en-AU"/>
    </w:rPr>
  </w:style>
  <w:style w:type="character" w:styleId="Strong">
    <w:name w:val="Strong"/>
    <w:basedOn w:val="DefaultParagraphFont"/>
    <w:qFormat/>
    <w:rsid w:val="00D02973"/>
    <w:rPr>
      <w:b/>
      <w:bCs/>
    </w:rPr>
  </w:style>
  <w:style w:type="paragraph" w:customStyle="1" w:styleId="BodyText2Char0">
    <w:name w:val="Body Text2 Char"/>
    <w:basedOn w:val="Normal"/>
    <w:rsid w:val="00D02973"/>
    <w:pPr>
      <w:spacing w:after="0" w:line="240" w:lineRule="auto"/>
      <w:ind w:left="1134"/>
      <w:jc w:val="both"/>
    </w:pPr>
    <w:rPr>
      <w:rFonts w:ascii="Arial" w:eastAsia="Times New Roman" w:hAnsi="Arial" w:cs="Times New Roman"/>
      <w:szCs w:val="24"/>
      <w:lang w:eastAsia="en-AU"/>
    </w:rPr>
  </w:style>
  <w:style w:type="paragraph" w:customStyle="1" w:styleId="SummaryPoints">
    <w:name w:val="Summary Points"/>
    <w:basedOn w:val="Normal"/>
    <w:rsid w:val="00D02973"/>
    <w:pPr>
      <w:tabs>
        <w:tab w:val="num" w:pos="360"/>
      </w:tabs>
      <w:spacing w:after="160" w:line="240" w:lineRule="auto"/>
      <w:ind w:left="357" w:hanging="357"/>
      <w:jc w:val="both"/>
    </w:pPr>
    <w:rPr>
      <w:rFonts w:ascii="Arial" w:eastAsia="Times New Roman" w:hAnsi="Arial" w:cs="Times New Roman"/>
      <w:sz w:val="24"/>
      <w:szCs w:val="20"/>
    </w:rPr>
  </w:style>
  <w:style w:type="paragraph" w:customStyle="1" w:styleId="Bullet20">
    <w:name w:val="Bullet2"/>
    <w:basedOn w:val="Normal"/>
    <w:autoRedefine/>
    <w:rsid w:val="00D02973"/>
    <w:pPr>
      <w:tabs>
        <w:tab w:val="num" w:pos="360"/>
        <w:tab w:val="num" w:pos="2472"/>
      </w:tabs>
      <w:spacing w:after="120" w:line="240" w:lineRule="auto"/>
      <w:ind w:left="2472" w:hanging="567"/>
      <w:jc w:val="both"/>
    </w:pPr>
    <w:rPr>
      <w:rFonts w:ascii="Arial" w:eastAsia="Times New Roman" w:hAnsi="Arial" w:cs="Times New Roman"/>
      <w:szCs w:val="24"/>
    </w:rPr>
  </w:style>
  <w:style w:type="character" w:customStyle="1" w:styleId="Heading3BCharChar">
    <w:name w:val="Heading 3B Char Char"/>
    <w:basedOn w:val="Heading3Char"/>
    <w:rsid w:val="00D02973"/>
    <w:rPr>
      <w:rFonts w:ascii="Arial" w:eastAsiaTheme="majorEastAsia" w:hAnsi="Arial" w:cs="Arial"/>
      <w:b/>
      <w:bCs/>
      <w:i/>
      <w:color w:val="4F81BD"/>
      <w:sz w:val="22"/>
      <w:szCs w:val="22"/>
      <w:lang w:val="en-US" w:eastAsia="en-US" w:bidi="ar-SA"/>
    </w:rPr>
  </w:style>
  <w:style w:type="paragraph" w:customStyle="1" w:styleId="StyleBodyTextIndentArialNarrow12ptAutoLeft25cmChar">
    <w:name w:val="Style Body Text Indent + Arial Narrow 12 pt Auto Left:  2.5 cm ... Char"/>
    <w:basedOn w:val="BodyTextIndent"/>
    <w:link w:val="StyleBodyTextIndentArialNarrow12ptAutoLeft25cmCharChar"/>
    <w:autoRedefine/>
    <w:rsid w:val="00D02973"/>
    <w:pPr>
      <w:spacing w:after="120"/>
      <w:ind w:left="993"/>
    </w:pPr>
    <w:rPr>
      <w:rFonts w:ascii="Arial Narrow" w:hAnsi="Arial Narrow"/>
      <w:bCs/>
      <w:snapToGrid/>
      <w:sz w:val="24"/>
      <w:szCs w:val="24"/>
      <w:lang w:eastAsia="en-AU"/>
    </w:rPr>
  </w:style>
  <w:style w:type="character" w:customStyle="1" w:styleId="StyleBodyTextIndentArialNarrow12ptAutoLeft25cmCharChar">
    <w:name w:val="Style Body Text Indent + Arial Narrow 12 pt Auto Left:  2.5 cm ... Char Char"/>
    <w:basedOn w:val="DefaultParagraphFont"/>
    <w:link w:val="StyleBodyTextIndentArialNarrow12ptAutoLeft25cmChar"/>
    <w:rsid w:val="00D02973"/>
    <w:rPr>
      <w:rFonts w:ascii="Arial Narrow" w:eastAsia="Times New Roman" w:hAnsi="Arial Narrow" w:cs="Times New Roman"/>
      <w:bCs/>
      <w:color w:val="0000FF"/>
      <w:sz w:val="24"/>
      <w:szCs w:val="24"/>
      <w:lang w:eastAsia="en-AU"/>
    </w:rPr>
  </w:style>
  <w:style w:type="paragraph" w:customStyle="1" w:styleId="Style110">
    <w:name w:val="Style 11"/>
    <w:basedOn w:val="Normal"/>
    <w:rsid w:val="00D02973"/>
    <w:pPr>
      <w:widowControl w:val="0"/>
      <w:autoSpaceDE w:val="0"/>
      <w:autoSpaceDN w:val="0"/>
      <w:spacing w:after="0" w:line="240" w:lineRule="auto"/>
      <w:ind w:hanging="360"/>
    </w:pPr>
    <w:rPr>
      <w:rFonts w:ascii="Times New Roman" w:eastAsia="Times New Roman" w:hAnsi="Times New Roman" w:cs="Times New Roman"/>
      <w:sz w:val="24"/>
      <w:szCs w:val="24"/>
      <w:lang w:val="en-US" w:eastAsia="en-AU"/>
    </w:rPr>
  </w:style>
  <w:style w:type="paragraph" w:customStyle="1" w:styleId="Style90">
    <w:name w:val="Style 9"/>
    <w:basedOn w:val="Normal"/>
    <w:rsid w:val="00D02973"/>
    <w:pPr>
      <w:widowControl w:val="0"/>
      <w:autoSpaceDE w:val="0"/>
      <w:autoSpaceDN w:val="0"/>
      <w:spacing w:before="108" w:after="0" w:line="252" w:lineRule="exact"/>
      <w:ind w:left="612" w:hanging="288"/>
    </w:pPr>
    <w:rPr>
      <w:rFonts w:ascii="Times New Roman" w:eastAsia="Times New Roman" w:hAnsi="Times New Roman" w:cs="Times New Roman"/>
      <w:sz w:val="24"/>
      <w:szCs w:val="24"/>
      <w:lang w:val="en-US" w:eastAsia="en-AU"/>
    </w:rPr>
  </w:style>
  <w:style w:type="paragraph" w:customStyle="1" w:styleId="Bullet11">
    <w:name w:val="Bullet 1"/>
    <w:basedOn w:val="Normal"/>
    <w:rsid w:val="00D02973"/>
    <w:pPr>
      <w:tabs>
        <w:tab w:val="num" w:pos="360"/>
      </w:tabs>
      <w:spacing w:after="120" w:line="240" w:lineRule="auto"/>
      <w:ind w:left="360" w:hanging="360"/>
    </w:pPr>
    <w:rPr>
      <w:rFonts w:ascii="Arial" w:eastAsia="Times New Roman" w:hAnsi="Arial" w:cs="Times New Roman"/>
      <w:sz w:val="24"/>
      <w:szCs w:val="20"/>
      <w:lang w:val="en-GB"/>
    </w:rPr>
  </w:style>
  <w:style w:type="paragraph" w:customStyle="1" w:styleId="Style14">
    <w:name w:val="Style 14"/>
    <w:basedOn w:val="Normal"/>
    <w:rsid w:val="00D02973"/>
    <w:pPr>
      <w:widowControl w:val="0"/>
      <w:autoSpaceDE w:val="0"/>
      <w:autoSpaceDN w:val="0"/>
      <w:spacing w:after="0" w:line="348" w:lineRule="atLeast"/>
      <w:ind w:left="684"/>
    </w:pPr>
    <w:rPr>
      <w:rFonts w:ascii="Times New Roman" w:eastAsia="Times New Roman" w:hAnsi="Times New Roman" w:cs="Times New Roman"/>
      <w:sz w:val="24"/>
      <w:szCs w:val="24"/>
      <w:lang w:val="en-US" w:eastAsia="en-AU"/>
    </w:rPr>
  </w:style>
  <w:style w:type="paragraph" w:customStyle="1" w:styleId="Style13">
    <w:name w:val="Style 13"/>
    <w:basedOn w:val="Normal"/>
    <w:rsid w:val="00D02973"/>
    <w:pPr>
      <w:widowControl w:val="0"/>
      <w:autoSpaceDE w:val="0"/>
      <w:autoSpaceDN w:val="0"/>
      <w:spacing w:after="0" w:line="252" w:lineRule="exact"/>
    </w:pPr>
    <w:rPr>
      <w:rFonts w:ascii="Times New Roman" w:eastAsia="Times New Roman" w:hAnsi="Times New Roman" w:cs="Times New Roman"/>
      <w:sz w:val="24"/>
      <w:szCs w:val="24"/>
      <w:lang w:val="en-US" w:eastAsia="en-AU"/>
    </w:rPr>
  </w:style>
  <w:style w:type="paragraph" w:customStyle="1" w:styleId="Style50">
    <w:name w:val="Style 5"/>
    <w:basedOn w:val="Normal"/>
    <w:rsid w:val="00D02973"/>
    <w:pPr>
      <w:widowControl w:val="0"/>
      <w:autoSpaceDE w:val="0"/>
      <w:autoSpaceDN w:val="0"/>
      <w:spacing w:after="0" w:line="360" w:lineRule="auto"/>
      <w:ind w:hanging="324"/>
    </w:pPr>
    <w:rPr>
      <w:rFonts w:ascii="Times New Roman" w:eastAsia="Times New Roman" w:hAnsi="Times New Roman" w:cs="Times New Roman"/>
      <w:sz w:val="24"/>
      <w:szCs w:val="24"/>
      <w:lang w:val="en-US" w:eastAsia="en-AU"/>
    </w:rPr>
  </w:style>
  <w:style w:type="paragraph" w:customStyle="1" w:styleId="Style20">
    <w:name w:val="Style 2"/>
    <w:basedOn w:val="Normal"/>
    <w:rsid w:val="00D02973"/>
    <w:pPr>
      <w:widowControl w:val="0"/>
      <w:autoSpaceDE w:val="0"/>
      <w:autoSpaceDN w:val="0"/>
      <w:spacing w:after="0" w:line="240" w:lineRule="auto"/>
      <w:ind w:left="432" w:hanging="396"/>
    </w:pPr>
    <w:rPr>
      <w:rFonts w:ascii="Times New Roman" w:eastAsia="Times New Roman" w:hAnsi="Times New Roman" w:cs="Times New Roman"/>
      <w:sz w:val="24"/>
      <w:szCs w:val="24"/>
      <w:lang w:val="en-US" w:eastAsia="en-AU"/>
    </w:rPr>
  </w:style>
  <w:style w:type="character" w:styleId="Emphasis">
    <w:name w:val="Emphasis"/>
    <w:basedOn w:val="DefaultParagraphFont"/>
    <w:qFormat/>
    <w:rsid w:val="00D02973"/>
    <w:rPr>
      <w:i/>
      <w:iCs/>
    </w:rPr>
  </w:style>
  <w:style w:type="character" w:customStyle="1" w:styleId="attention">
    <w:name w:val="attention"/>
    <w:basedOn w:val="DefaultParagraphFont"/>
    <w:rsid w:val="00D02973"/>
  </w:style>
  <w:style w:type="character" w:customStyle="1" w:styleId="stdfont">
    <w:name w:val="stdfont"/>
    <w:basedOn w:val="DefaultParagraphFont"/>
    <w:rsid w:val="00D02973"/>
  </w:style>
  <w:style w:type="paragraph" w:customStyle="1" w:styleId="normind">
    <w:name w:val="normind"/>
    <w:basedOn w:val="Normal"/>
    <w:rsid w:val="00D0297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
    <w:name w:val="Bullet"/>
    <w:aliases w:val="b1"/>
    <w:basedOn w:val="Body"/>
    <w:rsid w:val="00D02973"/>
    <w:pPr>
      <w:tabs>
        <w:tab w:val="num" w:pos="2835"/>
      </w:tabs>
      <w:spacing w:before="0" w:after="100"/>
      <w:ind w:left="2835" w:hanging="567"/>
    </w:pPr>
  </w:style>
  <w:style w:type="paragraph" w:customStyle="1" w:styleId="Style80">
    <w:name w:val="Style 8"/>
    <w:basedOn w:val="Normal"/>
    <w:rsid w:val="00D02973"/>
    <w:pPr>
      <w:widowControl w:val="0"/>
      <w:autoSpaceDE w:val="0"/>
      <w:autoSpaceDN w:val="0"/>
      <w:spacing w:after="0" w:line="408" w:lineRule="atLeast"/>
      <w:ind w:left="756" w:hanging="720"/>
    </w:pPr>
    <w:rPr>
      <w:rFonts w:ascii="Times New Roman" w:eastAsia="Times New Roman" w:hAnsi="Times New Roman" w:cs="Times New Roman"/>
      <w:sz w:val="24"/>
      <w:szCs w:val="24"/>
      <w:lang w:val="en-US" w:eastAsia="en-AU"/>
    </w:rPr>
  </w:style>
  <w:style w:type="paragraph" w:customStyle="1" w:styleId="Style60">
    <w:name w:val="Style 6"/>
    <w:basedOn w:val="Normal"/>
    <w:rsid w:val="00D02973"/>
    <w:pPr>
      <w:widowControl w:val="0"/>
      <w:autoSpaceDE w:val="0"/>
      <w:autoSpaceDN w:val="0"/>
      <w:spacing w:after="0" w:line="228" w:lineRule="exact"/>
      <w:ind w:left="72"/>
      <w:jc w:val="both"/>
    </w:pPr>
    <w:rPr>
      <w:rFonts w:ascii="Times New Roman" w:eastAsia="Times New Roman" w:hAnsi="Times New Roman" w:cs="Times New Roman"/>
      <w:sz w:val="24"/>
      <w:szCs w:val="24"/>
      <w:lang w:val="en-US" w:eastAsia="en-AU"/>
    </w:rPr>
  </w:style>
  <w:style w:type="paragraph" w:customStyle="1" w:styleId="NumberPoints">
    <w:name w:val="Number Points"/>
    <w:basedOn w:val="BodyText"/>
    <w:rsid w:val="00D02973"/>
    <w:pPr>
      <w:tabs>
        <w:tab w:val="num" w:pos="360"/>
        <w:tab w:val="left" w:pos="1134"/>
        <w:tab w:val="left" w:pos="2268"/>
      </w:tabs>
      <w:ind w:left="360" w:hanging="360"/>
    </w:pPr>
    <w:rPr>
      <w:rFonts w:ascii="Arial" w:eastAsia="Times New Roman" w:hAnsi="Arial"/>
      <w:sz w:val="22"/>
      <w:lang w:val="en-GB"/>
    </w:rPr>
  </w:style>
  <w:style w:type="character" w:customStyle="1" w:styleId="heading">
    <w:name w:val="heading"/>
    <w:basedOn w:val="DefaultParagraphFont"/>
    <w:rsid w:val="00D02973"/>
  </w:style>
  <w:style w:type="paragraph" w:customStyle="1" w:styleId="Style10Char">
    <w:name w:val="Style10 Char"/>
    <w:basedOn w:val="Normal"/>
    <w:link w:val="Style10CharChar"/>
    <w:autoRedefine/>
    <w:rsid w:val="00D02973"/>
    <w:pPr>
      <w:keepNext/>
      <w:spacing w:after="120" w:line="240" w:lineRule="auto"/>
      <w:ind w:left="720"/>
      <w:jc w:val="both"/>
      <w:outlineLvl w:val="2"/>
    </w:pPr>
    <w:rPr>
      <w:rFonts w:ascii="Arial" w:eastAsia="Times New Roman" w:hAnsi="Arial" w:cs="Arial"/>
      <w:b/>
      <w:lang w:eastAsia="en-AU"/>
    </w:rPr>
  </w:style>
  <w:style w:type="character" w:customStyle="1" w:styleId="Style10CharChar">
    <w:name w:val="Style10 Char Char"/>
    <w:basedOn w:val="DefaultParagraphFont"/>
    <w:link w:val="Style10Char"/>
    <w:rsid w:val="00D02973"/>
    <w:rPr>
      <w:rFonts w:ascii="Arial" w:eastAsia="Times New Roman" w:hAnsi="Arial" w:cs="Arial"/>
      <w:b/>
      <w:lang w:eastAsia="en-AU"/>
    </w:rPr>
  </w:style>
  <w:style w:type="paragraph" w:customStyle="1" w:styleId="BodyText6">
    <w:name w:val="Body Text6"/>
    <w:basedOn w:val="Normal"/>
    <w:rsid w:val="00D02973"/>
    <w:pPr>
      <w:spacing w:after="119" w:line="240" w:lineRule="auto"/>
      <w:ind w:left="1134"/>
      <w:jc w:val="both"/>
    </w:pPr>
    <w:rPr>
      <w:rFonts w:ascii="Times New Roman" w:eastAsia="Times New Roman" w:hAnsi="Times New Roman" w:cs="Times New Roman"/>
      <w:sz w:val="20"/>
      <w:szCs w:val="20"/>
      <w:lang w:eastAsia="en-AU"/>
    </w:rPr>
  </w:style>
  <w:style w:type="paragraph" w:customStyle="1" w:styleId="StyleHeading2ArialBoldAllcapsLeft075cmHanging1">
    <w:name w:val="Style Heading 2 + Arial Bold All caps Left:  0.75 cm Hanging:  1..."/>
    <w:basedOn w:val="Heading2"/>
    <w:autoRedefine/>
    <w:rsid w:val="00D02973"/>
    <w:pPr>
      <w:keepLines w:val="0"/>
      <w:spacing w:before="0" w:after="120" w:line="240" w:lineRule="auto"/>
      <w:ind w:left="992" w:hanging="567"/>
      <w:jc w:val="both"/>
    </w:pPr>
    <w:rPr>
      <w:rFonts w:ascii="Arial Bold" w:eastAsia="Times New Roman" w:hAnsi="Arial Bold" w:cs="Times New Roman"/>
      <w:caps/>
      <w:color w:val="auto"/>
      <w:sz w:val="24"/>
      <w:szCs w:val="24"/>
    </w:rPr>
  </w:style>
  <w:style w:type="paragraph" w:customStyle="1" w:styleId="Normal-Schedule">
    <w:name w:val="Normal - Schedule"/>
    <w:rsid w:val="00D02973"/>
    <w:pPr>
      <w:tabs>
        <w:tab w:val="left" w:pos="454"/>
        <w:tab w:val="left" w:pos="907"/>
        <w:tab w:val="left" w:pos="1361"/>
        <w:tab w:val="left" w:pos="1814"/>
        <w:tab w:val="left" w:pos="2722"/>
      </w:tabs>
      <w:overflowPunct w:val="0"/>
      <w:autoSpaceDE w:val="0"/>
      <w:autoSpaceDN w:val="0"/>
      <w:adjustRightInd w:val="0"/>
      <w:spacing w:before="120" w:after="0" w:line="240" w:lineRule="auto"/>
      <w:textAlignment w:val="baseline"/>
    </w:pPr>
    <w:rPr>
      <w:rFonts w:ascii="Times New Roman" w:eastAsia="Times New Roman" w:hAnsi="Times New Roman" w:cs="Times New Roman"/>
      <w:sz w:val="20"/>
      <w:szCs w:val="20"/>
    </w:rPr>
  </w:style>
  <w:style w:type="paragraph" w:customStyle="1" w:styleId="Style111">
    <w:name w:val="Style11"/>
    <w:basedOn w:val="Normal"/>
    <w:autoRedefine/>
    <w:rsid w:val="00D02973"/>
    <w:pPr>
      <w:spacing w:after="120" w:line="240" w:lineRule="auto"/>
      <w:ind w:left="788"/>
      <w:jc w:val="both"/>
    </w:pPr>
    <w:rPr>
      <w:rFonts w:ascii="Arial" w:eastAsia="Times New Roman" w:hAnsi="Arial" w:cs="Arial"/>
      <w:i/>
      <w:color w:val="800080"/>
      <w:lang w:eastAsia="en-AU"/>
    </w:rPr>
  </w:style>
  <w:style w:type="paragraph" w:customStyle="1" w:styleId="11Heading2">
    <w:name w:val="1.1 Heading 2"/>
    <w:basedOn w:val="Normal"/>
    <w:link w:val="11Heading2Char"/>
    <w:autoRedefine/>
    <w:rsid w:val="00D02973"/>
    <w:pPr>
      <w:spacing w:after="240" w:line="240" w:lineRule="auto"/>
      <w:ind w:left="992" w:hanging="567"/>
    </w:pPr>
    <w:rPr>
      <w:rFonts w:ascii="Arial Bold" w:eastAsia="Times New Roman" w:hAnsi="Arial Bold" w:cs="Times New Roman"/>
      <w:b/>
      <w:smallCaps/>
      <w:sz w:val="24"/>
      <w:szCs w:val="24"/>
      <w:lang w:eastAsia="en-AU"/>
    </w:rPr>
  </w:style>
  <w:style w:type="character" w:customStyle="1" w:styleId="11Heading2Char">
    <w:name w:val="1.1 Heading 2 Char"/>
    <w:basedOn w:val="DefaultParagraphFont"/>
    <w:link w:val="11Heading2"/>
    <w:rsid w:val="00D02973"/>
    <w:rPr>
      <w:rFonts w:ascii="Arial Bold" w:eastAsia="Times New Roman" w:hAnsi="Arial Bold" w:cs="Times New Roman"/>
      <w:b/>
      <w:smallCaps/>
      <w:sz w:val="24"/>
      <w:szCs w:val="24"/>
      <w:lang w:eastAsia="en-AU"/>
    </w:rPr>
  </w:style>
  <w:style w:type="paragraph" w:customStyle="1" w:styleId="Style12">
    <w:name w:val="Style12"/>
    <w:basedOn w:val="Normal"/>
    <w:autoRedefine/>
    <w:rsid w:val="00D02973"/>
    <w:pPr>
      <w:spacing w:after="120" w:line="240" w:lineRule="auto"/>
      <w:ind w:left="720"/>
      <w:jc w:val="both"/>
    </w:pPr>
    <w:rPr>
      <w:rFonts w:ascii="Arial" w:eastAsia="Times New Roman" w:hAnsi="Arial" w:cs="Arial"/>
      <w:lang w:eastAsia="en-AU"/>
    </w:rPr>
  </w:style>
  <w:style w:type="paragraph" w:customStyle="1" w:styleId="MLCBODY2">
    <w:name w:val="MLC BODY2"/>
    <w:basedOn w:val="Normal"/>
    <w:rsid w:val="00D02973"/>
    <w:pPr>
      <w:spacing w:before="60" w:after="60" w:line="240" w:lineRule="auto"/>
    </w:pPr>
    <w:rPr>
      <w:rFonts w:ascii="Arial" w:eastAsia="Times New Roman" w:hAnsi="Arial" w:cs="Times New Roman"/>
      <w:sz w:val="24"/>
      <w:szCs w:val="20"/>
      <w:lang w:val="en-US" w:eastAsia="en-AU"/>
    </w:rPr>
  </w:style>
  <w:style w:type="character" w:customStyle="1" w:styleId="EmailStyle188">
    <w:name w:val="EmailStyle188"/>
    <w:basedOn w:val="DefaultParagraphFont"/>
    <w:semiHidden/>
    <w:rsid w:val="00D02973"/>
    <w:rPr>
      <w:rFonts w:ascii="Arial" w:hAnsi="Arial" w:cs="Arial"/>
      <w:color w:val="auto"/>
      <w:sz w:val="20"/>
      <w:szCs w:val="20"/>
    </w:rPr>
  </w:style>
  <w:style w:type="paragraph" w:customStyle="1" w:styleId="ChartTitle">
    <w:name w:val="Chart Title"/>
    <w:basedOn w:val="BodyText2"/>
    <w:link w:val="ChartTitleChar"/>
    <w:autoRedefine/>
    <w:rsid w:val="00D02973"/>
    <w:pPr>
      <w:ind w:left="771"/>
      <w:jc w:val="left"/>
    </w:pPr>
    <w:rPr>
      <w:rFonts w:ascii="Arial" w:hAnsi="Arial" w:cs="Arial"/>
      <w:b/>
      <w:i/>
      <w:sz w:val="20"/>
      <w:szCs w:val="20"/>
      <w:u w:val="single"/>
    </w:rPr>
  </w:style>
  <w:style w:type="character" w:customStyle="1" w:styleId="ChartTitleChar">
    <w:name w:val="Chart Title Char"/>
    <w:basedOn w:val="DefaultParagraphFont"/>
    <w:link w:val="ChartTitle"/>
    <w:rsid w:val="00D02973"/>
    <w:rPr>
      <w:rFonts w:ascii="Arial" w:eastAsia="Times New Roman" w:hAnsi="Arial" w:cs="Arial"/>
      <w:b/>
      <w:i/>
      <w:sz w:val="20"/>
      <w:szCs w:val="20"/>
      <w:u w:val="single"/>
    </w:rPr>
  </w:style>
  <w:style w:type="paragraph" w:customStyle="1" w:styleId="NumberList1">
    <w:name w:val="Number List1"/>
    <w:basedOn w:val="Normal"/>
    <w:autoRedefine/>
    <w:rsid w:val="00D02973"/>
    <w:pPr>
      <w:numPr>
        <w:numId w:val="10"/>
      </w:numPr>
      <w:shd w:val="clear" w:color="auto" w:fill="F3F3F3"/>
      <w:tabs>
        <w:tab w:val="clear" w:pos="567"/>
        <w:tab w:val="num" w:pos="1134"/>
      </w:tabs>
      <w:spacing w:before="60" w:after="120" w:line="240" w:lineRule="auto"/>
      <w:ind w:left="1134"/>
      <w:jc w:val="both"/>
    </w:pPr>
    <w:rPr>
      <w:rFonts w:ascii="AvantGarde Bk BT" w:eastAsia="Times New Roman" w:hAnsi="AvantGarde Bk BT" w:cs="Times New Roman"/>
      <w:color w:val="000000"/>
      <w:sz w:val="20"/>
      <w:szCs w:val="20"/>
      <w:lang w:val="en-US"/>
    </w:rPr>
  </w:style>
  <w:style w:type="paragraph" w:customStyle="1" w:styleId="NumberList3">
    <w:name w:val="Number List3"/>
    <w:basedOn w:val="Normal"/>
    <w:autoRedefine/>
    <w:rsid w:val="00D02973"/>
    <w:pPr>
      <w:spacing w:before="60" w:after="60" w:line="240" w:lineRule="auto"/>
      <w:jc w:val="both"/>
    </w:pPr>
    <w:rPr>
      <w:rFonts w:ascii="AvantGarde Bk BT" w:eastAsia="Times New Roman" w:hAnsi="AvantGarde Bk BT" w:cs="Times New Roman"/>
      <w:sz w:val="20"/>
      <w:szCs w:val="24"/>
    </w:rPr>
  </w:style>
  <w:style w:type="paragraph" w:styleId="TOC4">
    <w:name w:val="toc 4"/>
    <w:basedOn w:val="Normal"/>
    <w:next w:val="Normal"/>
    <w:autoRedefine/>
    <w:uiPriority w:val="39"/>
    <w:rsid w:val="00D02973"/>
    <w:pPr>
      <w:spacing w:after="0" w:line="240" w:lineRule="auto"/>
      <w:ind w:left="720"/>
    </w:pPr>
    <w:rPr>
      <w:rFonts w:ascii="Times New Roman" w:eastAsia="Times New Roman" w:hAnsi="Times New Roman" w:cs="Times New Roman"/>
      <w:sz w:val="24"/>
      <w:szCs w:val="24"/>
      <w:lang w:eastAsia="en-AU"/>
    </w:rPr>
  </w:style>
  <w:style w:type="paragraph" w:styleId="TOC5">
    <w:name w:val="toc 5"/>
    <w:basedOn w:val="Normal"/>
    <w:next w:val="Normal"/>
    <w:autoRedefine/>
    <w:uiPriority w:val="39"/>
    <w:rsid w:val="00D02973"/>
    <w:pPr>
      <w:spacing w:after="0" w:line="240" w:lineRule="auto"/>
      <w:ind w:left="960"/>
    </w:pPr>
    <w:rPr>
      <w:rFonts w:ascii="Times New Roman" w:eastAsia="Times New Roman" w:hAnsi="Times New Roman" w:cs="Times New Roman"/>
      <w:sz w:val="24"/>
      <w:szCs w:val="24"/>
      <w:lang w:eastAsia="en-AU"/>
    </w:rPr>
  </w:style>
  <w:style w:type="paragraph" w:styleId="TOC6">
    <w:name w:val="toc 6"/>
    <w:basedOn w:val="Normal"/>
    <w:next w:val="Normal"/>
    <w:autoRedefine/>
    <w:uiPriority w:val="39"/>
    <w:rsid w:val="00D02973"/>
    <w:pPr>
      <w:spacing w:after="0" w:line="240" w:lineRule="auto"/>
      <w:ind w:left="1200"/>
    </w:pPr>
    <w:rPr>
      <w:rFonts w:ascii="Times New Roman" w:eastAsia="Times New Roman" w:hAnsi="Times New Roman" w:cs="Times New Roman"/>
      <w:sz w:val="24"/>
      <w:szCs w:val="24"/>
      <w:lang w:eastAsia="en-AU"/>
    </w:rPr>
  </w:style>
  <w:style w:type="paragraph" w:styleId="TOC7">
    <w:name w:val="toc 7"/>
    <w:basedOn w:val="Normal"/>
    <w:next w:val="Normal"/>
    <w:autoRedefine/>
    <w:uiPriority w:val="39"/>
    <w:rsid w:val="00D02973"/>
    <w:pPr>
      <w:spacing w:after="0" w:line="240" w:lineRule="auto"/>
      <w:ind w:left="1440"/>
    </w:pPr>
    <w:rPr>
      <w:rFonts w:ascii="Times New Roman" w:eastAsia="Times New Roman" w:hAnsi="Times New Roman" w:cs="Times New Roman"/>
      <w:sz w:val="24"/>
      <w:szCs w:val="24"/>
      <w:lang w:eastAsia="en-AU"/>
    </w:rPr>
  </w:style>
  <w:style w:type="paragraph" w:styleId="TOC9">
    <w:name w:val="toc 9"/>
    <w:basedOn w:val="Normal"/>
    <w:next w:val="Normal"/>
    <w:autoRedefine/>
    <w:uiPriority w:val="39"/>
    <w:rsid w:val="00D02973"/>
    <w:pPr>
      <w:spacing w:after="0" w:line="240" w:lineRule="auto"/>
      <w:ind w:left="1920"/>
    </w:pPr>
    <w:rPr>
      <w:rFonts w:ascii="Times New Roman" w:eastAsia="Times New Roman" w:hAnsi="Times New Roman" w:cs="Times New Roman"/>
      <w:sz w:val="24"/>
      <w:szCs w:val="24"/>
      <w:lang w:eastAsia="en-AU"/>
    </w:rPr>
  </w:style>
  <w:style w:type="paragraph" w:customStyle="1" w:styleId="xl27">
    <w:name w:val="xl27"/>
    <w:basedOn w:val="Normal"/>
    <w:rsid w:val="00D02973"/>
    <w:pPr>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font5">
    <w:name w:val="font5"/>
    <w:basedOn w:val="Normal"/>
    <w:rsid w:val="00D02973"/>
    <w:pPr>
      <w:spacing w:before="100" w:beforeAutospacing="1" w:after="100" w:afterAutospacing="1" w:line="240" w:lineRule="auto"/>
    </w:pPr>
    <w:rPr>
      <w:rFonts w:ascii="Tahoma" w:eastAsia="Times New Roman" w:hAnsi="Tahoma" w:cs="Tahoma"/>
      <w:b/>
      <w:bCs/>
      <w:color w:val="FF0000"/>
      <w:sz w:val="20"/>
      <w:szCs w:val="20"/>
      <w:lang w:eastAsia="en-AU"/>
    </w:rPr>
  </w:style>
  <w:style w:type="paragraph" w:customStyle="1" w:styleId="font6">
    <w:name w:val="font6"/>
    <w:basedOn w:val="Normal"/>
    <w:rsid w:val="00D02973"/>
    <w:pPr>
      <w:spacing w:before="100" w:beforeAutospacing="1" w:after="100" w:afterAutospacing="1" w:line="240" w:lineRule="auto"/>
    </w:pPr>
    <w:rPr>
      <w:rFonts w:ascii="Tahoma" w:eastAsia="Times New Roman" w:hAnsi="Tahoma" w:cs="Tahoma"/>
      <w:color w:val="000000"/>
      <w:sz w:val="20"/>
      <w:szCs w:val="20"/>
      <w:lang w:eastAsia="en-AU"/>
    </w:rPr>
  </w:style>
  <w:style w:type="paragraph" w:customStyle="1" w:styleId="font7">
    <w:name w:val="font7"/>
    <w:basedOn w:val="Normal"/>
    <w:rsid w:val="00D02973"/>
    <w:pPr>
      <w:spacing w:before="100" w:beforeAutospacing="1" w:after="100" w:afterAutospacing="1" w:line="240" w:lineRule="auto"/>
    </w:pPr>
    <w:rPr>
      <w:rFonts w:ascii="Tahoma" w:eastAsia="Times New Roman" w:hAnsi="Tahoma" w:cs="Tahoma"/>
      <w:b/>
      <w:bCs/>
      <w:color w:val="000000"/>
      <w:sz w:val="20"/>
      <w:szCs w:val="20"/>
      <w:lang w:eastAsia="en-AU"/>
    </w:rPr>
  </w:style>
  <w:style w:type="paragraph" w:customStyle="1" w:styleId="font8">
    <w:name w:val="font8"/>
    <w:basedOn w:val="Normal"/>
    <w:rsid w:val="00D02973"/>
    <w:pPr>
      <w:spacing w:before="100" w:beforeAutospacing="1" w:after="100" w:afterAutospacing="1" w:line="240" w:lineRule="auto"/>
    </w:pPr>
    <w:rPr>
      <w:rFonts w:ascii="Tahoma" w:eastAsia="Times New Roman" w:hAnsi="Tahoma" w:cs="Tahoma"/>
      <w:color w:val="FF0000"/>
      <w:sz w:val="20"/>
      <w:szCs w:val="20"/>
      <w:lang w:eastAsia="en-AU"/>
    </w:rPr>
  </w:style>
  <w:style w:type="paragraph" w:customStyle="1" w:styleId="font9">
    <w:name w:val="font9"/>
    <w:basedOn w:val="Normal"/>
    <w:rsid w:val="00D02973"/>
    <w:pPr>
      <w:spacing w:before="100" w:beforeAutospacing="1" w:after="100" w:afterAutospacing="1" w:line="240" w:lineRule="auto"/>
    </w:pPr>
    <w:rPr>
      <w:rFonts w:ascii="Tahoma" w:eastAsia="Times New Roman" w:hAnsi="Tahoma" w:cs="Tahoma"/>
      <w:b/>
      <w:bCs/>
      <w:color w:val="FF0000"/>
      <w:sz w:val="16"/>
      <w:szCs w:val="16"/>
      <w:lang w:eastAsia="en-AU"/>
    </w:rPr>
  </w:style>
  <w:style w:type="paragraph" w:customStyle="1" w:styleId="font10">
    <w:name w:val="font10"/>
    <w:basedOn w:val="Normal"/>
    <w:rsid w:val="00D02973"/>
    <w:pPr>
      <w:spacing w:before="100" w:beforeAutospacing="1" w:after="100" w:afterAutospacing="1" w:line="240" w:lineRule="auto"/>
    </w:pPr>
    <w:rPr>
      <w:rFonts w:ascii="Tahoma" w:eastAsia="Times New Roman" w:hAnsi="Tahoma" w:cs="Tahoma"/>
      <w:color w:val="000000"/>
      <w:sz w:val="16"/>
      <w:szCs w:val="16"/>
      <w:lang w:eastAsia="en-AU"/>
    </w:rPr>
  </w:style>
  <w:style w:type="paragraph" w:customStyle="1" w:styleId="font11">
    <w:name w:val="font11"/>
    <w:basedOn w:val="Normal"/>
    <w:rsid w:val="00D02973"/>
    <w:pPr>
      <w:spacing w:before="100" w:beforeAutospacing="1" w:after="100" w:afterAutospacing="1" w:line="240" w:lineRule="auto"/>
    </w:pPr>
    <w:rPr>
      <w:rFonts w:ascii="Tahoma" w:eastAsia="Times New Roman" w:hAnsi="Tahoma" w:cs="Tahoma"/>
      <w:b/>
      <w:bCs/>
      <w:color w:val="000000"/>
      <w:sz w:val="16"/>
      <w:szCs w:val="16"/>
      <w:lang w:eastAsia="en-AU"/>
    </w:rPr>
  </w:style>
  <w:style w:type="paragraph" w:customStyle="1" w:styleId="xl66">
    <w:name w:val="xl66"/>
    <w:basedOn w:val="Normal"/>
    <w:rsid w:val="00D02973"/>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Calibri" w:eastAsia="Times New Roman" w:hAnsi="Calibri" w:cs="Calibri"/>
      <w:lang w:eastAsia="en-AU"/>
    </w:rPr>
  </w:style>
  <w:style w:type="paragraph" w:customStyle="1" w:styleId="xl67">
    <w:name w:val="xl67"/>
    <w:basedOn w:val="Normal"/>
    <w:rsid w:val="00D029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lang w:eastAsia="en-AU"/>
    </w:rPr>
  </w:style>
  <w:style w:type="paragraph" w:customStyle="1" w:styleId="xl68">
    <w:name w:val="xl68"/>
    <w:basedOn w:val="Normal"/>
    <w:rsid w:val="00D0297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color w:val="000000"/>
      <w:lang w:eastAsia="en-AU"/>
    </w:rPr>
  </w:style>
  <w:style w:type="paragraph" w:customStyle="1" w:styleId="xl69">
    <w:name w:val="xl69"/>
    <w:basedOn w:val="Normal"/>
    <w:rsid w:val="00D029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Calibri"/>
      <w:b/>
      <w:bCs/>
      <w:sz w:val="24"/>
      <w:szCs w:val="24"/>
      <w:lang w:eastAsia="en-AU"/>
    </w:rPr>
  </w:style>
  <w:style w:type="paragraph" w:customStyle="1" w:styleId="xl70">
    <w:name w:val="xl70"/>
    <w:basedOn w:val="Normal"/>
    <w:rsid w:val="00D029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lang w:eastAsia="en-AU"/>
    </w:rPr>
  </w:style>
  <w:style w:type="paragraph" w:customStyle="1" w:styleId="xl71">
    <w:name w:val="xl71"/>
    <w:basedOn w:val="Normal"/>
    <w:rsid w:val="00D0297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color w:val="000000"/>
      <w:lang w:eastAsia="en-AU"/>
    </w:rPr>
  </w:style>
  <w:style w:type="paragraph" w:customStyle="1" w:styleId="xl72">
    <w:name w:val="xl72"/>
    <w:basedOn w:val="Normal"/>
    <w:rsid w:val="00D029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Calibri"/>
      <w:color w:val="000000"/>
      <w:lang w:eastAsia="en-AU"/>
    </w:rPr>
  </w:style>
  <w:style w:type="paragraph" w:customStyle="1" w:styleId="xl73">
    <w:name w:val="xl73"/>
    <w:basedOn w:val="Normal"/>
    <w:rsid w:val="00D0297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ascii="Calibri" w:eastAsia="Times New Roman" w:hAnsi="Calibri" w:cs="Calibri"/>
      <w:color w:val="000000"/>
      <w:lang w:eastAsia="en-AU"/>
    </w:rPr>
  </w:style>
  <w:style w:type="paragraph" w:customStyle="1" w:styleId="xl74">
    <w:name w:val="xl74"/>
    <w:basedOn w:val="Normal"/>
    <w:rsid w:val="00D0297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right"/>
      <w:textAlignment w:val="center"/>
    </w:pPr>
    <w:rPr>
      <w:rFonts w:ascii="Calibri" w:eastAsia="Times New Roman" w:hAnsi="Calibri" w:cs="Calibri"/>
      <w:b/>
      <w:bCs/>
      <w:sz w:val="24"/>
      <w:szCs w:val="24"/>
      <w:lang w:eastAsia="en-AU"/>
    </w:rPr>
  </w:style>
  <w:style w:type="paragraph" w:customStyle="1" w:styleId="xl75">
    <w:name w:val="xl75"/>
    <w:basedOn w:val="Normal"/>
    <w:rsid w:val="00D029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Calibri" w:eastAsia="Times New Roman" w:hAnsi="Calibri" w:cs="Calibri"/>
      <w:b/>
      <w:bCs/>
      <w:sz w:val="24"/>
      <w:szCs w:val="24"/>
      <w:lang w:eastAsia="en-AU"/>
    </w:rPr>
  </w:style>
  <w:style w:type="paragraph" w:customStyle="1" w:styleId="xl76">
    <w:name w:val="xl76"/>
    <w:basedOn w:val="Normal"/>
    <w:rsid w:val="00D0297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Calibri" w:eastAsia="Times New Roman" w:hAnsi="Calibri" w:cs="Calibri"/>
      <w:color w:val="000000"/>
      <w:lang w:eastAsia="en-AU"/>
    </w:rPr>
  </w:style>
  <w:style w:type="paragraph" w:customStyle="1" w:styleId="xl77">
    <w:name w:val="xl77"/>
    <w:basedOn w:val="Normal"/>
    <w:rsid w:val="00D0297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right"/>
      <w:textAlignment w:val="center"/>
    </w:pPr>
    <w:rPr>
      <w:rFonts w:ascii="Calibri" w:eastAsia="Times New Roman" w:hAnsi="Calibri" w:cs="Calibri"/>
      <w:b/>
      <w:bCs/>
      <w:sz w:val="24"/>
      <w:szCs w:val="24"/>
      <w:lang w:eastAsia="en-AU"/>
    </w:rPr>
  </w:style>
  <w:style w:type="paragraph" w:customStyle="1" w:styleId="xl78">
    <w:name w:val="xl78"/>
    <w:basedOn w:val="Normal"/>
    <w:rsid w:val="00D02973"/>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jc w:val="center"/>
      <w:textAlignment w:val="center"/>
    </w:pPr>
    <w:rPr>
      <w:rFonts w:ascii="Calibri" w:eastAsia="Times New Roman" w:hAnsi="Calibri" w:cs="Calibri"/>
      <w:b/>
      <w:bCs/>
      <w:color w:val="000000"/>
      <w:lang w:eastAsia="en-AU"/>
    </w:rPr>
  </w:style>
  <w:style w:type="paragraph" w:customStyle="1" w:styleId="xl79">
    <w:name w:val="xl79"/>
    <w:basedOn w:val="Normal"/>
    <w:rsid w:val="00D02973"/>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right"/>
      <w:textAlignment w:val="center"/>
    </w:pPr>
    <w:rPr>
      <w:rFonts w:ascii="Calibri" w:eastAsia="Times New Roman" w:hAnsi="Calibri" w:cs="Calibri"/>
      <w:b/>
      <w:bCs/>
      <w:lang w:eastAsia="en-AU"/>
    </w:rPr>
  </w:style>
  <w:style w:type="paragraph" w:styleId="EndnoteText">
    <w:name w:val="endnote text"/>
    <w:basedOn w:val="Normal"/>
    <w:link w:val="EndnoteTextChar"/>
    <w:uiPriority w:val="99"/>
    <w:unhideWhenUsed/>
    <w:rsid w:val="00D02973"/>
    <w:pPr>
      <w:spacing w:after="0" w:line="240" w:lineRule="auto"/>
    </w:pPr>
    <w:rPr>
      <w:sz w:val="20"/>
      <w:szCs w:val="20"/>
    </w:rPr>
  </w:style>
  <w:style w:type="character" w:customStyle="1" w:styleId="EndnoteTextChar">
    <w:name w:val="Endnote Text Char"/>
    <w:basedOn w:val="DefaultParagraphFont"/>
    <w:link w:val="EndnoteText"/>
    <w:uiPriority w:val="99"/>
    <w:rsid w:val="00D02973"/>
    <w:rPr>
      <w:sz w:val="20"/>
      <w:szCs w:val="20"/>
    </w:rPr>
  </w:style>
  <w:style w:type="paragraph" w:styleId="CommentSubject">
    <w:name w:val="annotation subject"/>
    <w:basedOn w:val="CommentText"/>
    <w:next w:val="CommentText"/>
    <w:link w:val="CommentSubjectChar"/>
    <w:uiPriority w:val="99"/>
    <w:semiHidden/>
    <w:unhideWhenUsed/>
    <w:rsid w:val="00D02973"/>
    <w:rPr>
      <w:b/>
      <w:bCs/>
    </w:rPr>
  </w:style>
  <w:style w:type="character" w:customStyle="1" w:styleId="CommentSubjectChar">
    <w:name w:val="Comment Subject Char"/>
    <w:basedOn w:val="CommentTextChar"/>
    <w:link w:val="CommentSubject"/>
    <w:uiPriority w:val="99"/>
    <w:semiHidden/>
    <w:rsid w:val="00D02973"/>
    <w:rPr>
      <w:b/>
      <w:bCs/>
      <w:sz w:val="20"/>
      <w:szCs w:val="20"/>
    </w:rPr>
  </w:style>
  <w:style w:type="table" w:customStyle="1" w:styleId="TableGrid1">
    <w:name w:val="Table Grid1"/>
    <w:basedOn w:val="TableNormal"/>
    <w:next w:val="TableGrid"/>
    <w:uiPriority w:val="39"/>
    <w:rsid w:val="00D02973"/>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029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7892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chart" Target="charts/chart1.xml"/><Relationship Id="rId26" Type="http://schemas.microsoft.com/office/2007/relationships/diagramDrawing" Target="diagrams/drawing1.xml"/><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4.jpeg"/><Relationship Id="rId42" Type="http://schemas.openxmlformats.org/officeDocument/2006/relationships/header" Target="header6.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diagramColors" Target="diagrams/colors1.xml"/><Relationship Id="rId33" Type="http://schemas.openxmlformats.org/officeDocument/2006/relationships/image" Target="media/image13.jpeg"/><Relationship Id="rId38" Type="http://schemas.openxmlformats.org/officeDocument/2006/relationships/footer" Target="footer6.xml"/><Relationship Id="rId46"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7.png"/><Relationship Id="rId29" Type="http://schemas.openxmlformats.org/officeDocument/2006/relationships/chart" Target="charts/chart4.xm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QuickStyle" Target="diagrams/quickStyle1.xml"/><Relationship Id="rId32" Type="http://schemas.openxmlformats.org/officeDocument/2006/relationships/image" Target="media/image12.jpeg"/><Relationship Id="rId37" Type="http://schemas.openxmlformats.org/officeDocument/2006/relationships/header" Target="header3.xml"/><Relationship Id="rId40" Type="http://schemas.openxmlformats.org/officeDocument/2006/relationships/header" Target="header5.xml"/><Relationship Id="rId45"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diagramLayout" Target="diagrams/layout1.xml"/><Relationship Id="rId28" Type="http://schemas.openxmlformats.org/officeDocument/2006/relationships/chart" Target="charts/chart3.xml"/><Relationship Id="rId36" Type="http://schemas.openxmlformats.org/officeDocument/2006/relationships/footer" Target="footer5.xml"/><Relationship Id="rId10" Type="http://schemas.openxmlformats.org/officeDocument/2006/relationships/image" Target="media/image3.jpeg"/><Relationship Id="rId19" Type="http://schemas.openxmlformats.org/officeDocument/2006/relationships/chart" Target="charts/chart2.xml"/><Relationship Id="rId31" Type="http://schemas.openxmlformats.org/officeDocument/2006/relationships/image" Target="media/image11.jpeg"/><Relationship Id="rId44"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diagramData" Target="diagrams/data1.xml"/><Relationship Id="rId27" Type="http://schemas.openxmlformats.org/officeDocument/2006/relationships/image" Target="media/image9.png"/><Relationship Id="rId30" Type="http://schemas.openxmlformats.org/officeDocument/2006/relationships/image" Target="media/image10.emf"/><Relationship Id="rId35" Type="http://schemas.openxmlformats.org/officeDocument/2006/relationships/footer" Target="footer4.xml"/><Relationship Id="rId43" Type="http://schemas.openxmlformats.org/officeDocument/2006/relationships/footer" Target="footer8.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file:///\\baysidecc.vic.gov.au\XenApp\UserData\Mwalker\WIN7\Documents\Offline%20Records%20(BP)\Asset%20~%20MANAGEMENT%20-%20Planning(2)\R&amp;OS-AMP%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baysidecc.vic.gov.au\XenApp\UserData\Mwalker\WIN7\Documents\Offline%20Records%20(BP)\Asset%20~%20MANAGEMENT%20-%20Planning(2)\R&amp;OS-AMP%20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Performance</a:t>
            </a:r>
            <a:r>
              <a:rPr lang="en-AU" baseline="0"/>
              <a:t> of Recreational Facilities</a:t>
            </a:r>
            <a:endParaRPr lang="en-AU"/>
          </a:p>
        </c:rich>
      </c:tx>
      <c:layout>
        <c:manualLayout>
          <c:xMode val="edge"/>
          <c:yMode val="edge"/>
          <c:x val="7.2959724724310754E-2"/>
          <c:y val="4.3805603150554165E-2"/>
        </c:manualLayout>
      </c:layout>
      <c:overlay val="0"/>
      <c:spPr>
        <a:solidFill>
          <a:schemeClr val="bg1"/>
        </a:solidFill>
        <a:ln>
          <a:solidFill>
            <a:schemeClr val="bg1"/>
          </a:solid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117507939998292E-2"/>
          <c:y val="9.578379692826143E-2"/>
          <c:w val="0.92533947149165718"/>
          <c:h val="0.65961192374720712"/>
        </c:manualLayout>
      </c:layout>
      <c:barChart>
        <c:barDir val="col"/>
        <c:grouping val="clustered"/>
        <c:varyColors val="0"/>
        <c:ser>
          <c:idx val="0"/>
          <c:order val="0"/>
          <c:tx>
            <c:strRef>
              <c:f>'Peformance Summary Statistics'!$C$4</c:f>
              <c:strCache>
                <c:ptCount val="1"/>
                <c:pt idx="0">
                  <c:v>Bayside</c:v>
                </c:pt>
              </c:strCache>
            </c:strRef>
          </c:tx>
          <c:spPr>
            <a:solidFill>
              <a:schemeClr val="accent1"/>
            </a:solidFill>
            <a:ln>
              <a:noFill/>
            </a:ln>
            <a:effectLst/>
          </c:spPr>
          <c:invertIfNegative val="0"/>
          <c:cat>
            <c:numRef>
              <c:f>'Peformance Summary Statistics'!$D$3:$H$3</c:f>
              <c:numCache>
                <c:formatCode>General</c:formatCode>
                <c:ptCount val="5"/>
                <c:pt idx="0">
                  <c:v>2012</c:v>
                </c:pt>
                <c:pt idx="1">
                  <c:v>2013</c:v>
                </c:pt>
                <c:pt idx="2">
                  <c:v>2014</c:v>
                </c:pt>
                <c:pt idx="3">
                  <c:v>2015</c:v>
                </c:pt>
                <c:pt idx="4">
                  <c:v>2016</c:v>
                </c:pt>
              </c:numCache>
            </c:numRef>
          </c:cat>
          <c:val>
            <c:numRef>
              <c:f>'Peformance Summary Statistics'!$D$4:$H$4</c:f>
              <c:numCache>
                <c:formatCode>General</c:formatCode>
                <c:ptCount val="5"/>
                <c:pt idx="0">
                  <c:v>72</c:v>
                </c:pt>
                <c:pt idx="1">
                  <c:v>72</c:v>
                </c:pt>
                <c:pt idx="2">
                  <c:v>75</c:v>
                </c:pt>
                <c:pt idx="3">
                  <c:v>71</c:v>
                </c:pt>
                <c:pt idx="4">
                  <c:v>69</c:v>
                </c:pt>
              </c:numCache>
            </c:numRef>
          </c:val>
        </c:ser>
        <c:ser>
          <c:idx val="1"/>
          <c:order val="1"/>
          <c:tx>
            <c:strRef>
              <c:f>'Peformance Summary Statistics'!$C$5</c:f>
              <c:strCache>
                <c:ptCount val="1"/>
                <c:pt idx="0">
                  <c:v>Statewide Average</c:v>
                </c:pt>
              </c:strCache>
            </c:strRef>
          </c:tx>
          <c:spPr>
            <a:solidFill>
              <a:schemeClr val="accent2"/>
            </a:solidFill>
            <a:ln>
              <a:noFill/>
            </a:ln>
            <a:effectLst/>
          </c:spPr>
          <c:invertIfNegative val="0"/>
          <c:cat>
            <c:numRef>
              <c:f>'Peformance Summary Statistics'!$D$3:$H$3</c:f>
              <c:numCache>
                <c:formatCode>General</c:formatCode>
                <c:ptCount val="5"/>
                <c:pt idx="0">
                  <c:v>2012</c:v>
                </c:pt>
                <c:pt idx="1">
                  <c:v>2013</c:v>
                </c:pt>
                <c:pt idx="2">
                  <c:v>2014</c:v>
                </c:pt>
                <c:pt idx="3">
                  <c:v>2015</c:v>
                </c:pt>
                <c:pt idx="4">
                  <c:v>2016</c:v>
                </c:pt>
              </c:numCache>
            </c:numRef>
          </c:cat>
          <c:val>
            <c:numRef>
              <c:f>'Peformance Summary Statistics'!$D$5:$H$5</c:f>
              <c:numCache>
                <c:formatCode>General</c:formatCode>
                <c:ptCount val="5"/>
                <c:pt idx="0">
                  <c:v>70</c:v>
                </c:pt>
                <c:pt idx="1">
                  <c:v>70</c:v>
                </c:pt>
                <c:pt idx="2">
                  <c:v>71</c:v>
                </c:pt>
                <c:pt idx="3">
                  <c:v>70</c:v>
                </c:pt>
                <c:pt idx="4">
                  <c:v>69</c:v>
                </c:pt>
              </c:numCache>
            </c:numRef>
          </c:val>
        </c:ser>
        <c:dLbls>
          <c:showLegendKey val="0"/>
          <c:showVal val="0"/>
          <c:showCatName val="0"/>
          <c:showSerName val="0"/>
          <c:showPercent val="0"/>
          <c:showBubbleSize val="0"/>
        </c:dLbls>
        <c:gapWidth val="219"/>
        <c:overlap val="-27"/>
        <c:axId val="762826288"/>
        <c:axId val="762827856"/>
      </c:barChart>
      <c:catAx>
        <c:axId val="762826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2827856"/>
        <c:crosses val="autoZero"/>
        <c:auto val="1"/>
        <c:lblAlgn val="ctr"/>
        <c:lblOffset val="100"/>
        <c:noMultiLvlLbl val="0"/>
      </c:catAx>
      <c:valAx>
        <c:axId val="762827856"/>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2826288"/>
        <c:crosses val="autoZero"/>
        <c:crossBetween val="between"/>
      </c:valAx>
      <c:spPr>
        <a:noFill/>
        <a:ln>
          <a:noFill/>
        </a:ln>
        <a:effectLst/>
      </c:spPr>
    </c:plotArea>
    <c:legend>
      <c:legendPos val="b"/>
      <c:layout>
        <c:manualLayout>
          <c:xMode val="edge"/>
          <c:yMode val="edge"/>
          <c:x val="0.74799904747699164"/>
          <c:y val="2.497040811075087E-2"/>
          <c:w val="0.21086133935313983"/>
          <c:h val="0.25119840230272605"/>
        </c:manualLayout>
      </c:layout>
      <c:overlay val="0"/>
      <c:spPr>
        <a:solidFill>
          <a:schemeClr val="bg1"/>
        </a:solidFill>
        <a:ln>
          <a:solidFill>
            <a:schemeClr val="bg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Appearance</a:t>
            </a:r>
            <a:r>
              <a:rPr lang="en-AU" baseline="0"/>
              <a:t> of Public Areas</a:t>
            </a:r>
            <a:endParaRPr lang="en-AU"/>
          </a:p>
        </c:rich>
      </c:tx>
      <c:layout>
        <c:manualLayout>
          <c:xMode val="edge"/>
          <c:yMode val="edge"/>
          <c:x val="6.88588170451752E-2"/>
          <c:y val="6.5624859490047635E-2"/>
        </c:manualLayout>
      </c:layout>
      <c:overlay val="0"/>
      <c:spPr>
        <a:solidFill>
          <a:schemeClr val="bg1"/>
        </a:solid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1011719818956726E-2"/>
          <c:y val="6.7027012397179467E-2"/>
          <c:w val="0.92557780063152995"/>
          <c:h val="0.80436169084274556"/>
        </c:manualLayout>
      </c:layout>
      <c:barChart>
        <c:barDir val="col"/>
        <c:grouping val="clustered"/>
        <c:varyColors val="0"/>
        <c:ser>
          <c:idx val="0"/>
          <c:order val="0"/>
          <c:tx>
            <c:strRef>
              <c:f>'Peformance Summary Statistics'!$C$12</c:f>
              <c:strCache>
                <c:ptCount val="1"/>
                <c:pt idx="0">
                  <c:v>Bayside</c:v>
                </c:pt>
              </c:strCache>
            </c:strRef>
          </c:tx>
          <c:spPr>
            <a:solidFill>
              <a:schemeClr val="accent1"/>
            </a:solidFill>
            <a:ln>
              <a:noFill/>
            </a:ln>
            <a:effectLst/>
          </c:spPr>
          <c:invertIfNegative val="0"/>
          <c:cat>
            <c:numRef>
              <c:f>'Peformance Summary Statistics'!$D$11:$H$11</c:f>
              <c:numCache>
                <c:formatCode>General</c:formatCode>
                <c:ptCount val="5"/>
                <c:pt idx="0">
                  <c:v>2012</c:v>
                </c:pt>
                <c:pt idx="1">
                  <c:v>2013</c:v>
                </c:pt>
                <c:pt idx="2">
                  <c:v>2014</c:v>
                </c:pt>
                <c:pt idx="3">
                  <c:v>2015</c:v>
                </c:pt>
                <c:pt idx="4">
                  <c:v>2016</c:v>
                </c:pt>
              </c:numCache>
            </c:numRef>
          </c:cat>
          <c:val>
            <c:numRef>
              <c:f>'Peformance Summary Statistics'!$D$12:$H$12</c:f>
              <c:numCache>
                <c:formatCode>General</c:formatCode>
                <c:ptCount val="5"/>
                <c:pt idx="0">
                  <c:v>73</c:v>
                </c:pt>
                <c:pt idx="1">
                  <c:v>72</c:v>
                </c:pt>
                <c:pt idx="2">
                  <c:v>75</c:v>
                </c:pt>
                <c:pt idx="3">
                  <c:v>74</c:v>
                </c:pt>
                <c:pt idx="4">
                  <c:v>74</c:v>
                </c:pt>
              </c:numCache>
            </c:numRef>
          </c:val>
        </c:ser>
        <c:ser>
          <c:idx val="1"/>
          <c:order val="1"/>
          <c:tx>
            <c:strRef>
              <c:f>'Peformance Summary Statistics'!$C$13</c:f>
              <c:strCache>
                <c:ptCount val="1"/>
                <c:pt idx="0">
                  <c:v>Statewide Average</c:v>
                </c:pt>
              </c:strCache>
            </c:strRef>
          </c:tx>
          <c:spPr>
            <a:solidFill>
              <a:schemeClr val="accent2"/>
            </a:solidFill>
            <a:ln>
              <a:noFill/>
            </a:ln>
            <a:effectLst/>
          </c:spPr>
          <c:invertIfNegative val="0"/>
          <c:cat>
            <c:numRef>
              <c:f>'Peformance Summary Statistics'!$D$11:$H$11</c:f>
              <c:numCache>
                <c:formatCode>General</c:formatCode>
                <c:ptCount val="5"/>
                <c:pt idx="0">
                  <c:v>2012</c:v>
                </c:pt>
                <c:pt idx="1">
                  <c:v>2013</c:v>
                </c:pt>
                <c:pt idx="2">
                  <c:v>2014</c:v>
                </c:pt>
                <c:pt idx="3">
                  <c:v>2015</c:v>
                </c:pt>
                <c:pt idx="4">
                  <c:v>2016</c:v>
                </c:pt>
              </c:numCache>
            </c:numRef>
          </c:cat>
          <c:val>
            <c:numRef>
              <c:f>'Peformance Summary Statistics'!$D$13:$H$13</c:f>
              <c:numCache>
                <c:formatCode>General</c:formatCode>
                <c:ptCount val="5"/>
                <c:pt idx="0">
                  <c:v>71</c:v>
                </c:pt>
                <c:pt idx="1">
                  <c:v>71</c:v>
                </c:pt>
                <c:pt idx="2">
                  <c:v>72</c:v>
                </c:pt>
                <c:pt idx="3">
                  <c:v>72</c:v>
                </c:pt>
                <c:pt idx="4">
                  <c:v>71</c:v>
                </c:pt>
              </c:numCache>
            </c:numRef>
          </c:val>
        </c:ser>
        <c:dLbls>
          <c:showLegendKey val="0"/>
          <c:showVal val="0"/>
          <c:showCatName val="0"/>
          <c:showSerName val="0"/>
          <c:showPercent val="0"/>
          <c:showBubbleSize val="0"/>
        </c:dLbls>
        <c:gapWidth val="219"/>
        <c:overlap val="-27"/>
        <c:axId val="762822760"/>
        <c:axId val="462445192"/>
      </c:barChart>
      <c:catAx>
        <c:axId val="762822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2445192"/>
        <c:crosses val="autoZero"/>
        <c:auto val="1"/>
        <c:lblAlgn val="ctr"/>
        <c:lblOffset val="100"/>
        <c:noMultiLvlLbl val="0"/>
      </c:catAx>
      <c:valAx>
        <c:axId val="462445192"/>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2822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'Remaining Life'!$F$1</c:f>
              <c:strCache>
                <c:ptCount val="1"/>
                <c:pt idx="0">
                  <c:v>Remaining Useful Life</c:v>
                </c:pt>
              </c:strCache>
            </c:strRef>
          </c:tx>
          <c:invertIfNegative val="0"/>
          <c:cat>
            <c:strRef>
              <c:f>'Remaining Life'!$E$2:$E$15</c:f>
              <c:strCache>
                <c:ptCount val="14"/>
                <c:pt idx="0">
                  <c:v>Athletics</c:v>
                </c:pt>
                <c:pt idx="1">
                  <c:v>Baseball</c:v>
                </c:pt>
                <c:pt idx="2">
                  <c:v>Cricket / Football / Soccer</c:v>
                </c:pt>
                <c:pt idx="3">
                  <c:v>Football</c:v>
                </c:pt>
                <c:pt idx="4">
                  <c:v>Croquet</c:v>
                </c:pt>
                <c:pt idx="5">
                  <c:v>Golf</c:v>
                </c:pt>
                <c:pt idx="6">
                  <c:v>Gymnasium</c:v>
                </c:pt>
                <c:pt idx="7">
                  <c:v>Gymnastics</c:v>
                </c:pt>
                <c:pt idx="8">
                  <c:v>Lawn Bowls</c:v>
                </c:pt>
                <c:pt idx="9">
                  <c:v>Lifesaving</c:v>
                </c:pt>
                <c:pt idx="10">
                  <c:v>Lawn Bowls</c:v>
                </c:pt>
                <c:pt idx="11">
                  <c:v>Netball</c:v>
                </c:pt>
                <c:pt idx="12">
                  <c:v>Sailing</c:v>
                </c:pt>
                <c:pt idx="13">
                  <c:v>Tennis</c:v>
                </c:pt>
              </c:strCache>
            </c:strRef>
          </c:cat>
          <c:val>
            <c:numRef>
              <c:f>'Remaining Life'!$F$2:$F$15</c:f>
              <c:numCache>
                <c:formatCode>0%</c:formatCode>
                <c:ptCount val="14"/>
                <c:pt idx="0">
                  <c:v>0.92142857142857149</c:v>
                </c:pt>
                <c:pt idx="1">
                  <c:v>0.38441558441558438</c:v>
                </c:pt>
                <c:pt idx="2">
                  <c:v>0.43339338713152759</c:v>
                </c:pt>
                <c:pt idx="3">
                  <c:v>0.466200440985233</c:v>
                </c:pt>
                <c:pt idx="4">
                  <c:v>0.2</c:v>
                </c:pt>
                <c:pt idx="5">
                  <c:v>0.29748157248157248</c:v>
                </c:pt>
                <c:pt idx="6">
                  <c:v>0.90857142857142847</c:v>
                </c:pt>
                <c:pt idx="7">
                  <c:v>0.98</c:v>
                </c:pt>
                <c:pt idx="8">
                  <c:v>0.32550797687161326</c:v>
                </c:pt>
                <c:pt idx="9">
                  <c:v>0.52980519480519483</c:v>
                </c:pt>
                <c:pt idx="10">
                  <c:v>0.32550797687161326</c:v>
                </c:pt>
                <c:pt idx="11">
                  <c:v>0.91666666666666674</c:v>
                </c:pt>
                <c:pt idx="12">
                  <c:v>0.7</c:v>
                </c:pt>
                <c:pt idx="13">
                  <c:v>0.52180649298928872</c:v>
                </c:pt>
              </c:numCache>
            </c:numRef>
          </c:val>
        </c:ser>
        <c:dLbls>
          <c:showLegendKey val="0"/>
          <c:showVal val="0"/>
          <c:showCatName val="0"/>
          <c:showSerName val="0"/>
          <c:showPercent val="0"/>
          <c:showBubbleSize val="0"/>
        </c:dLbls>
        <c:gapWidth val="150"/>
        <c:axId val="462443624"/>
        <c:axId val="462447544"/>
      </c:barChart>
      <c:barChart>
        <c:barDir val="bar"/>
        <c:grouping val="clustered"/>
        <c:varyColors val="0"/>
        <c:ser>
          <c:idx val="1"/>
          <c:order val="1"/>
          <c:spPr>
            <a:noFill/>
            <a:ln>
              <a:noFill/>
            </a:ln>
          </c:spPr>
          <c:invertIfNegative val="0"/>
          <c:dLbls>
            <c:dLbl>
              <c:idx val="1"/>
              <c:layout>
                <c:manualLayout>
                  <c:x val="-0.10651616978370972"/>
                  <c:y val="-2.9137529137531273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11026250642436512"/>
                  <c:y val="-1.0683637265471323E-16"/>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0.11266132839523597"/>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7.4258991168704741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8.5374548659743324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0.16032717509713365"/>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8.915135608048988E-2"/>
                  <c:y val="-5.3418186327356613E-1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0.1154146837773828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8.915135608048988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0.16514678938675267"/>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2"/>
              <c:layout>
                <c:manualLayout>
                  <c:x val="-0.14010242366938799"/>
                  <c:y val="-2.6709093163678307E-1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3"/>
              <c:layout>
                <c:manualLayout>
                  <c:x val="-0.11219458927873178"/>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'Remaining Life'!$H$2:$H$15</c:f>
              <c:numCache>
                <c:formatCode>0</c:formatCode>
                <c:ptCount val="14"/>
                <c:pt idx="0">
                  <c:v>46.071428571428577</c:v>
                </c:pt>
                <c:pt idx="1">
                  <c:v>19.220779220779217</c:v>
                </c:pt>
                <c:pt idx="2">
                  <c:v>21.669669356576378</c:v>
                </c:pt>
                <c:pt idx="3">
                  <c:v>23.310022049261651</c:v>
                </c:pt>
                <c:pt idx="4">
                  <c:v>10</c:v>
                </c:pt>
                <c:pt idx="5">
                  <c:v>14.874078624078624</c:v>
                </c:pt>
                <c:pt idx="6">
                  <c:v>45.428571428571423</c:v>
                </c:pt>
                <c:pt idx="7">
                  <c:v>49</c:v>
                </c:pt>
                <c:pt idx="8">
                  <c:v>16.275398843580664</c:v>
                </c:pt>
                <c:pt idx="9">
                  <c:v>26.490259740259742</c:v>
                </c:pt>
                <c:pt idx="10">
                  <c:v>16.275398843580664</c:v>
                </c:pt>
                <c:pt idx="11">
                  <c:v>45.833333333333336</c:v>
                </c:pt>
                <c:pt idx="12">
                  <c:v>35</c:v>
                </c:pt>
                <c:pt idx="13">
                  <c:v>26.090324649464435</c:v>
                </c:pt>
              </c:numCache>
            </c:numRef>
          </c:val>
        </c:ser>
        <c:dLbls>
          <c:showLegendKey val="0"/>
          <c:showVal val="0"/>
          <c:showCatName val="0"/>
          <c:showSerName val="0"/>
          <c:showPercent val="0"/>
          <c:showBubbleSize val="0"/>
        </c:dLbls>
        <c:gapWidth val="150"/>
        <c:axId val="462450680"/>
        <c:axId val="462450288"/>
      </c:barChart>
      <c:catAx>
        <c:axId val="462443624"/>
        <c:scaling>
          <c:orientation val="minMax"/>
        </c:scaling>
        <c:delete val="0"/>
        <c:axPos val="l"/>
        <c:numFmt formatCode="General" sourceLinked="0"/>
        <c:majorTickMark val="out"/>
        <c:minorTickMark val="none"/>
        <c:tickLblPos val="nextTo"/>
        <c:crossAx val="462447544"/>
        <c:crosses val="autoZero"/>
        <c:auto val="1"/>
        <c:lblAlgn val="ctr"/>
        <c:lblOffset val="100"/>
        <c:noMultiLvlLbl val="0"/>
      </c:catAx>
      <c:valAx>
        <c:axId val="462447544"/>
        <c:scaling>
          <c:orientation val="minMax"/>
          <c:max val="1"/>
        </c:scaling>
        <c:delete val="0"/>
        <c:axPos val="b"/>
        <c:majorGridlines/>
        <c:numFmt formatCode="0%" sourceLinked="1"/>
        <c:majorTickMark val="out"/>
        <c:minorTickMark val="none"/>
        <c:tickLblPos val="nextTo"/>
        <c:crossAx val="462443624"/>
        <c:crosses val="autoZero"/>
        <c:crossBetween val="between"/>
        <c:majorUnit val="0.1"/>
      </c:valAx>
      <c:valAx>
        <c:axId val="462450288"/>
        <c:scaling>
          <c:orientation val="minMax"/>
          <c:max val="60"/>
        </c:scaling>
        <c:delete val="0"/>
        <c:axPos val="t"/>
        <c:numFmt formatCode="0" sourceLinked="1"/>
        <c:majorTickMark val="out"/>
        <c:minorTickMark val="none"/>
        <c:tickLblPos val="high"/>
        <c:txPr>
          <a:bodyPr/>
          <a:lstStyle/>
          <a:p>
            <a:pPr>
              <a:defRPr>
                <a:noFill/>
              </a:defRPr>
            </a:pPr>
            <a:endParaRPr lang="en-US"/>
          </a:p>
        </c:txPr>
        <c:crossAx val="462450680"/>
        <c:crosses val="max"/>
        <c:crossBetween val="between"/>
      </c:valAx>
      <c:catAx>
        <c:axId val="462450680"/>
        <c:scaling>
          <c:orientation val="minMax"/>
        </c:scaling>
        <c:delete val="1"/>
        <c:axPos val="r"/>
        <c:majorTickMark val="out"/>
        <c:minorTickMark val="none"/>
        <c:tickLblPos val="nextTo"/>
        <c:crossAx val="462450288"/>
        <c:crosses val="max"/>
        <c:auto val="1"/>
        <c:lblAlgn val="ctr"/>
        <c:lblOffset val="100"/>
        <c:noMultiLvlLbl val="0"/>
      </c:catAx>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Moloney_condition_data!$A$16</c:f>
              <c:strCache>
                <c:ptCount val="1"/>
                <c:pt idx="0">
                  <c:v>Excellent</c:v>
                </c:pt>
              </c:strCache>
            </c:strRef>
          </c:tx>
          <c:spPr>
            <a:solidFill>
              <a:schemeClr val="accent5">
                <a:lumMod val="50000"/>
              </a:schemeClr>
            </a:solidFill>
            <a:ln>
              <a:noFill/>
            </a:ln>
            <a:effectLst/>
          </c:spPr>
          <c:invertIfNegative val="0"/>
          <c:cat>
            <c:strRef>
              <c:f>Moloney_condition_data!$B$15:$E$15</c:f>
              <c:strCache>
                <c:ptCount val="4"/>
                <c:pt idx="0">
                  <c:v>Open Space</c:v>
                </c:pt>
                <c:pt idx="1">
                  <c:v>Recreation</c:v>
                </c:pt>
                <c:pt idx="2">
                  <c:v>Foreshore</c:v>
                </c:pt>
                <c:pt idx="3">
                  <c:v>Ancillary</c:v>
                </c:pt>
              </c:strCache>
            </c:strRef>
          </c:cat>
          <c:val>
            <c:numRef>
              <c:f>Moloney_condition_data!$B$16:$E$16</c:f>
              <c:numCache>
                <c:formatCode>0%</c:formatCode>
                <c:ptCount val="4"/>
                <c:pt idx="0">
                  <c:v>7.0000000000000007E-2</c:v>
                </c:pt>
                <c:pt idx="1">
                  <c:v>8.5833333333333345E-2</c:v>
                </c:pt>
                <c:pt idx="2">
                  <c:v>4.8755782885818652E-3</c:v>
                </c:pt>
                <c:pt idx="3">
                  <c:v>0.115</c:v>
                </c:pt>
              </c:numCache>
            </c:numRef>
          </c:val>
        </c:ser>
        <c:ser>
          <c:idx val="1"/>
          <c:order val="1"/>
          <c:tx>
            <c:strRef>
              <c:f>Moloney_condition_data!$A$17</c:f>
              <c:strCache>
                <c:ptCount val="1"/>
                <c:pt idx="0">
                  <c:v>Good</c:v>
                </c:pt>
              </c:strCache>
            </c:strRef>
          </c:tx>
          <c:spPr>
            <a:solidFill>
              <a:schemeClr val="accent1"/>
            </a:solidFill>
            <a:ln>
              <a:noFill/>
            </a:ln>
            <a:effectLst/>
          </c:spPr>
          <c:invertIfNegative val="0"/>
          <c:cat>
            <c:strRef>
              <c:f>Moloney_condition_data!$B$15:$E$15</c:f>
              <c:strCache>
                <c:ptCount val="4"/>
                <c:pt idx="0">
                  <c:v>Open Space</c:v>
                </c:pt>
                <c:pt idx="1">
                  <c:v>Recreation</c:v>
                </c:pt>
                <c:pt idx="2">
                  <c:v>Foreshore</c:v>
                </c:pt>
                <c:pt idx="3">
                  <c:v>Ancillary</c:v>
                </c:pt>
              </c:strCache>
            </c:strRef>
          </c:cat>
          <c:val>
            <c:numRef>
              <c:f>Moloney_condition_data!$B$17:$E$17</c:f>
              <c:numCache>
                <c:formatCode>0%</c:formatCode>
                <c:ptCount val="4"/>
                <c:pt idx="0">
                  <c:v>0.3</c:v>
                </c:pt>
                <c:pt idx="1">
                  <c:v>0.32166666666666666</c:v>
                </c:pt>
                <c:pt idx="2">
                  <c:v>0.2012583501743537</c:v>
                </c:pt>
                <c:pt idx="3">
                  <c:v>0.38250000000000001</c:v>
                </c:pt>
              </c:numCache>
            </c:numRef>
          </c:val>
        </c:ser>
        <c:ser>
          <c:idx val="2"/>
          <c:order val="2"/>
          <c:tx>
            <c:strRef>
              <c:f>Moloney_condition_data!$A$18</c:f>
              <c:strCache>
                <c:ptCount val="1"/>
                <c:pt idx="0">
                  <c:v>Average</c:v>
                </c:pt>
              </c:strCache>
            </c:strRef>
          </c:tx>
          <c:spPr>
            <a:solidFill>
              <a:schemeClr val="accent6"/>
            </a:solidFill>
            <a:ln>
              <a:noFill/>
            </a:ln>
            <a:effectLst/>
          </c:spPr>
          <c:invertIfNegative val="0"/>
          <c:cat>
            <c:strRef>
              <c:f>Moloney_condition_data!$B$15:$E$15</c:f>
              <c:strCache>
                <c:ptCount val="4"/>
                <c:pt idx="0">
                  <c:v>Open Space</c:v>
                </c:pt>
                <c:pt idx="1">
                  <c:v>Recreation</c:v>
                </c:pt>
                <c:pt idx="2">
                  <c:v>Foreshore</c:v>
                </c:pt>
                <c:pt idx="3">
                  <c:v>Ancillary</c:v>
                </c:pt>
              </c:strCache>
            </c:strRef>
          </c:cat>
          <c:val>
            <c:numRef>
              <c:f>Moloney_condition_data!$B$18:$E$18</c:f>
              <c:numCache>
                <c:formatCode>0%</c:formatCode>
                <c:ptCount val="4"/>
                <c:pt idx="0">
                  <c:v>0.46</c:v>
                </c:pt>
                <c:pt idx="1">
                  <c:v>0.44166666666666671</c:v>
                </c:pt>
                <c:pt idx="2">
                  <c:v>0.38732623626198148</c:v>
                </c:pt>
                <c:pt idx="3">
                  <c:v>0.4</c:v>
                </c:pt>
              </c:numCache>
            </c:numRef>
          </c:val>
        </c:ser>
        <c:ser>
          <c:idx val="3"/>
          <c:order val="3"/>
          <c:tx>
            <c:strRef>
              <c:f>Moloney_condition_data!$A$19</c:f>
              <c:strCache>
                <c:ptCount val="1"/>
                <c:pt idx="0">
                  <c:v>Poor</c:v>
                </c:pt>
              </c:strCache>
            </c:strRef>
          </c:tx>
          <c:spPr>
            <a:solidFill>
              <a:schemeClr val="accent2">
                <a:lumMod val="40000"/>
                <a:lumOff val="60000"/>
              </a:schemeClr>
            </a:solidFill>
            <a:ln>
              <a:noFill/>
            </a:ln>
            <a:effectLst/>
          </c:spPr>
          <c:invertIfNegative val="0"/>
          <c:cat>
            <c:strRef>
              <c:f>Moloney_condition_data!$B$15:$E$15</c:f>
              <c:strCache>
                <c:ptCount val="4"/>
                <c:pt idx="0">
                  <c:v>Open Space</c:v>
                </c:pt>
                <c:pt idx="1">
                  <c:v>Recreation</c:v>
                </c:pt>
                <c:pt idx="2">
                  <c:v>Foreshore</c:v>
                </c:pt>
                <c:pt idx="3">
                  <c:v>Ancillary</c:v>
                </c:pt>
              </c:strCache>
            </c:strRef>
          </c:cat>
          <c:val>
            <c:numRef>
              <c:f>Moloney_condition_data!$B$19:$E$19</c:f>
              <c:numCache>
                <c:formatCode>0%</c:formatCode>
                <c:ptCount val="4"/>
                <c:pt idx="0">
                  <c:v>0.15</c:v>
                </c:pt>
                <c:pt idx="1">
                  <c:v>0.13583333333333333</c:v>
                </c:pt>
                <c:pt idx="2">
                  <c:v>0.37850540443453468</c:v>
                </c:pt>
                <c:pt idx="3">
                  <c:v>9.2499999999999999E-2</c:v>
                </c:pt>
              </c:numCache>
            </c:numRef>
          </c:val>
        </c:ser>
        <c:ser>
          <c:idx val="4"/>
          <c:order val="4"/>
          <c:tx>
            <c:strRef>
              <c:f>Moloney_condition_data!$A$20</c:f>
              <c:strCache>
                <c:ptCount val="1"/>
                <c:pt idx="0">
                  <c:v>Past Intervention Point</c:v>
                </c:pt>
              </c:strCache>
            </c:strRef>
          </c:tx>
          <c:spPr>
            <a:solidFill>
              <a:srgbClr val="FF0000"/>
            </a:solidFill>
            <a:ln>
              <a:noFill/>
            </a:ln>
            <a:effectLst/>
          </c:spPr>
          <c:invertIfNegative val="0"/>
          <c:cat>
            <c:strRef>
              <c:f>Moloney_condition_data!$B$15:$E$15</c:f>
              <c:strCache>
                <c:ptCount val="4"/>
                <c:pt idx="0">
                  <c:v>Open Space</c:v>
                </c:pt>
                <c:pt idx="1">
                  <c:v>Recreation</c:v>
                </c:pt>
                <c:pt idx="2">
                  <c:v>Foreshore</c:v>
                </c:pt>
                <c:pt idx="3">
                  <c:v>Ancillary</c:v>
                </c:pt>
              </c:strCache>
            </c:strRef>
          </c:cat>
          <c:val>
            <c:numRef>
              <c:f>Moloney_condition_data!$B$20:$E$20</c:f>
              <c:numCache>
                <c:formatCode>0%</c:formatCode>
                <c:ptCount val="4"/>
                <c:pt idx="0">
                  <c:v>0.02</c:v>
                </c:pt>
                <c:pt idx="1">
                  <c:v>1.4999999999999999E-2</c:v>
                </c:pt>
                <c:pt idx="2">
                  <c:v>2.8034430840548252E-2</c:v>
                </c:pt>
                <c:pt idx="3">
                  <c:v>0.01</c:v>
                </c:pt>
              </c:numCache>
            </c:numRef>
          </c:val>
        </c:ser>
        <c:dLbls>
          <c:showLegendKey val="0"/>
          <c:showVal val="0"/>
          <c:showCatName val="0"/>
          <c:showSerName val="0"/>
          <c:showPercent val="0"/>
          <c:showBubbleSize val="0"/>
        </c:dLbls>
        <c:gapWidth val="150"/>
        <c:overlap val="100"/>
        <c:axId val="758006888"/>
        <c:axId val="758007280"/>
      </c:barChart>
      <c:catAx>
        <c:axId val="758006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007280"/>
        <c:crosses val="autoZero"/>
        <c:auto val="1"/>
        <c:lblAlgn val="ctr"/>
        <c:lblOffset val="100"/>
        <c:noMultiLvlLbl val="0"/>
      </c:catAx>
      <c:valAx>
        <c:axId val="75800728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006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BCF514-5BA8-4144-8072-751491A8ADEF}" type="doc">
      <dgm:prSet loTypeId="urn:microsoft.com/office/officeart/2005/8/layout/radial4" loCatId="relationship" qsTypeId="urn:microsoft.com/office/officeart/2005/8/quickstyle/simple1" qsCatId="simple" csTypeId="urn:microsoft.com/office/officeart/2005/8/colors/colorful1#1" csCatId="colorful" phldr="1"/>
      <dgm:spPr/>
      <dgm:t>
        <a:bodyPr/>
        <a:lstStyle/>
        <a:p>
          <a:endParaRPr lang="en-US"/>
        </a:p>
      </dgm:t>
    </dgm:pt>
    <dgm:pt modelId="{8BC54A9A-B4DC-45D7-AB8A-684FB14B5ACF}">
      <dgm:prSet phldrT="[Text]" custT="1"/>
      <dgm:spPr/>
      <dgm:t>
        <a:bodyPr/>
        <a:lstStyle/>
        <a:p>
          <a:pPr algn="ctr"/>
          <a:r>
            <a:rPr lang="en-US" sz="1200" b="1" dirty="0">
              <a:solidFill>
                <a:schemeClr val="bg1"/>
              </a:solidFill>
            </a:rPr>
            <a:t>Asset Upgrade Strategy</a:t>
          </a:r>
          <a:endParaRPr lang="en-US" sz="1200" dirty="0">
            <a:solidFill>
              <a:schemeClr val="bg1"/>
            </a:solidFill>
          </a:endParaRPr>
        </a:p>
      </dgm:t>
    </dgm:pt>
    <dgm:pt modelId="{9F090386-4C05-4981-A989-33113102E5D5}" type="parTrans" cxnId="{476BC1BF-EA30-4825-9755-DDF610BEB3A3}">
      <dgm:prSet/>
      <dgm:spPr/>
      <dgm:t>
        <a:bodyPr/>
        <a:lstStyle/>
        <a:p>
          <a:pPr algn="ctr"/>
          <a:endParaRPr lang="en-US"/>
        </a:p>
      </dgm:t>
    </dgm:pt>
    <dgm:pt modelId="{BF2D027D-2A0E-40B7-805B-2F4C773AA9E7}" type="sibTrans" cxnId="{476BC1BF-EA30-4825-9755-DDF610BEB3A3}">
      <dgm:prSet/>
      <dgm:spPr/>
      <dgm:t>
        <a:bodyPr/>
        <a:lstStyle/>
        <a:p>
          <a:pPr algn="ctr"/>
          <a:endParaRPr lang="en-US"/>
        </a:p>
      </dgm:t>
    </dgm:pt>
    <dgm:pt modelId="{9C8C244C-F9CE-4CFD-9330-CBBE7F0D14BA}">
      <dgm:prSet phldrT="[Text]"/>
      <dgm:spPr/>
      <dgm:t>
        <a:bodyPr/>
        <a:lstStyle/>
        <a:p>
          <a:pPr algn="ctr"/>
          <a:r>
            <a:rPr lang="en-US" dirty="0"/>
            <a:t>Service Strategic Planning (Community need, utilisation, fit for purpose)</a:t>
          </a:r>
        </a:p>
      </dgm:t>
    </dgm:pt>
    <dgm:pt modelId="{3D12D427-B048-4FCE-858C-023F3B183BF9}" type="parTrans" cxnId="{27E320DD-C0F4-4F04-BAC2-36D2883351E2}">
      <dgm:prSet/>
      <dgm:spPr/>
      <dgm:t>
        <a:bodyPr/>
        <a:lstStyle/>
        <a:p>
          <a:pPr algn="ctr"/>
          <a:endParaRPr lang="en-US"/>
        </a:p>
      </dgm:t>
    </dgm:pt>
    <dgm:pt modelId="{3A6CF5B9-0C23-4EDE-8217-71612A60BFFF}" type="sibTrans" cxnId="{27E320DD-C0F4-4F04-BAC2-36D2883351E2}">
      <dgm:prSet/>
      <dgm:spPr/>
      <dgm:t>
        <a:bodyPr/>
        <a:lstStyle/>
        <a:p>
          <a:pPr algn="ctr"/>
          <a:endParaRPr lang="en-US"/>
        </a:p>
      </dgm:t>
    </dgm:pt>
    <dgm:pt modelId="{F9CFEB07-A792-4F62-A686-379C4AB20457}">
      <dgm:prSet phldrT="[Text]"/>
      <dgm:spPr/>
      <dgm:t>
        <a:bodyPr/>
        <a:lstStyle/>
        <a:p>
          <a:pPr algn="ctr"/>
          <a:r>
            <a:rPr lang="en-US" dirty="0"/>
            <a:t>Council Plan</a:t>
          </a:r>
          <a:br>
            <a:rPr lang="en-US" dirty="0"/>
          </a:br>
          <a:r>
            <a:rPr lang="en-US" dirty="0"/>
            <a:t> LTFP</a:t>
          </a:r>
        </a:p>
      </dgm:t>
    </dgm:pt>
    <dgm:pt modelId="{F358E203-9D06-41EC-992E-2D3CE4489D2D}" type="parTrans" cxnId="{D1449B00-3A67-4D59-AD3E-17726DBD13CC}">
      <dgm:prSet/>
      <dgm:spPr/>
      <dgm:t>
        <a:bodyPr/>
        <a:lstStyle/>
        <a:p>
          <a:pPr algn="ctr"/>
          <a:endParaRPr lang="en-US"/>
        </a:p>
      </dgm:t>
    </dgm:pt>
    <dgm:pt modelId="{6FFABB96-EAC2-400D-9FDA-27155C1B8BC4}" type="sibTrans" cxnId="{D1449B00-3A67-4D59-AD3E-17726DBD13CC}">
      <dgm:prSet/>
      <dgm:spPr/>
      <dgm:t>
        <a:bodyPr/>
        <a:lstStyle/>
        <a:p>
          <a:pPr algn="ctr"/>
          <a:endParaRPr lang="en-US"/>
        </a:p>
      </dgm:t>
    </dgm:pt>
    <dgm:pt modelId="{87DDAE51-2CF3-4087-86C1-D6D07C4FDF5A}">
      <dgm:prSet phldrT="[Text]"/>
      <dgm:spPr/>
      <dgm:t>
        <a:bodyPr/>
        <a:lstStyle/>
        <a:p>
          <a:pPr algn="ctr"/>
          <a:r>
            <a:rPr lang="en-US" dirty="0"/>
            <a:t>Life Cycle Asset Management</a:t>
          </a:r>
          <a:br>
            <a:rPr lang="en-US" dirty="0"/>
          </a:br>
          <a:r>
            <a:rPr lang="en-US" dirty="0"/>
            <a:t>(R&amp;OS-AMP)</a:t>
          </a:r>
        </a:p>
      </dgm:t>
    </dgm:pt>
    <dgm:pt modelId="{2CB1BD5D-A439-4E21-9F04-41B953F95092}" type="parTrans" cxnId="{4F0504D3-3858-4FB6-B70A-980CF79D5EDC}">
      <dgm:prSet/>
      <dgm:spPr/>
      <dgm:t>
        <a:bodyPr/>
        <a:lstStyle/>
        <a:p>
          <a:pPr algn="ctr"/>
          <a:endParaRPr lang="en-US"/>
        </a:p>
      </dgm:t>
    </dgm:pt>
    <dgm:pt modelId="{06F7E571-51B6-4022-9874-35B3B83FB310}" type="sibTrans" cxnId="{4F0504D3-3858-4FB6-B70A-980CF79D5EDC}">
      <dgm:prSet/>
      <dgm:spPr/>
      <dgm:t>
        <a:bodyPr/>
        <a:lstStyle/>
        <a:p>
          <a:pPr algn="ctr"/>
          <a:endParaRPr lang="en-US"/>
        </a:p>
      </dgm:t>
    </dgm:pt>
    <dgm:pt modelId="{ECDF9709-6FC1-4FBE-A114-5017EBCEDA5C}">
      <dgm:prSet/>
      <dgm:spPr/>
      <dgm:t>
        <a:bodyPr/>
        <a:lstStyle/>
        <a:p>
          <a:r>
            <a:rPr lang="en-US" dirty="0" smtClean="0"/>
            <a:t>Regulatory Compliance, OH&amp;S, other policies, etc</a:t>
          </a:r>
          <a:endParaRPr lang="en-US" dirty="0"/>
        </a:p>
      </dgm:t>
    </dgm:pt>
    <dgm:pt modelId="{1B8BCDC4-4683-4C52-AAE1-51E229DDFCAF}" type="parTrans" cxnId="{8FBB7F98-9C28-4123-A9CC-ADCCEDCB2090}">
      <dgm:prSet/>
      <dgm:spPr/>
      <dgm:t>
        <a:bodyPr/>
        <a:lstStyle/>
        <a:p>
          <a:endParaRPr lang="en-US"/>
        </a:p>
      </dgm:t>
    </dgm:pt>
    <dgm:pt modelId="{E0065638-BB3A-4454-B013-201D145C41E9}" type="sibTrans" cxnId="{8FBB7F98-9C28-4123-A9CC-ADCCEDCB2090}">
      <dgm:prSet/>
      <dgm:spPr/>
      <dgm:t>
        <a:bodyPr/>
        <a:lstStyle/>
        <a:p>
          <a:endParaRPr lang="en-US"/>
        </a:p>
      </dgm:t>
    </dgm:pt>
    <dgm:pt modelId="{668CEF9D-F3B3-4D72-A6E6-8AA6B395AE7E}" type="pres">
      <dgm:prSet presAssocID="{1EBCF514-5BA8-4144-8072-751491A8ADEF}" presName="cycle" presStyleCnt="0">
        <dgm:presLayoutVars>
          <dgm:chMax val="1"/>
          <dgm:dir/>
          <dgm:animLvl val="ctr"/>
          <dgm:resizeHandles val="exact"/>
        </dgm:presLayoutVars>
      </dgm:prSet>
      <dgm:spPr/>
      <dgm:t>
        <a:bodyPr/>
        <a:lstStyle/>
        <a:p>
          <a:endParaRPr lang="en-US"/>
        </a:p>
      </dgm:t>
    </dgm:pt>
    <dgm:pt modelId="{247E859C-1B44-4DF1-8AB3-4B40E480CF97}" type="pres">
      <dgm:prSet presAssocID="{8BC54A9A-B4DC-45D7-AB8A-684FB14B5ACF}" presName="centerShape" presStyleLbl="node0" presStyleIdx="0" presStyleCnt="1" custScaleX="128515" custScaleY="127281" custLinFactNeighborX="-18429" custLinFactNeighborY="-485"/>
      <dgm:spPr/>
      <dgm:t>
        <a:bodyPr/>
        <a:lstStyle/>
        <a:p>
          <a:endParaRPr lang="en-US"/>
        </a:p>
      </dgm:t>
    </dgm:pt>
    <dgm:pt modelId="{BA120A98-8653-4382-A78A-A32FF791AAEE}" type="pres">
      <dgm:prSet presAssocID="{3D12D427-B048-4FCE-858C-023F3B183BF9}" presName="parTrans" presStyleLbl="bgSibTrans2D1" presStyleIdx="0" presStyleCnt="4" custLinFactNeighborX="-8154" custLinFactNeighborY="-4848"/>
      <dgm:spPr/>
      <dgm:t>
        <a:bodyPr/>
        <a:lstStyle/>
        <a:p>
          <a:endParaRPr lang="en-US"/>
        </a:p>
      </dgm:t>
    </dgm:pt>
    <dgm:pt modelId="{5549A062-7BC4-4E1A-8252-926DE774F9F7}" type="pres">
      <dgm:prSet presAssocID="{9C8C244C-F9CE-4CFD-9330-CBBE7F0D14BA}" presName="node" presStyleLbl="node1" presStyleIdx="0" presStyleCnt="4" custRadScaleRad="84410" custRadScaleInc="316560">
        <dgm:presLayoutVars>
          <dgm:bulletEnabled val="1"/>
        </dgm:presLayoutVars>
      </dgm:prSet>
      <dgm:spPr/>
      <dgm:t>
        <a:bodyPr/>
        <a:lstStyle/>
        <a:p>
          <a:endParaRPr lang="en-US"/>
        </a:p>
      </dgm:t>
    </dgm:pt>
    <dgm:pt modelId="{19EE78F0-3F95-4AB2-9760-E72E76CA3316}" type="pres">
      <dgm:prSet presAssocID="{F358E203-9D06-41EC-992E-2D3CE4489D2D}" presName="parTrans" presStyleLbl="bgSibTrans2D1" presStyleIdx="1" presStyleCnt="4" custAng="2313017" custScaleX="82326" custLinFactY="-54462" custLinFactNeighborX="-37703" custLinFactNeighborY="-100000"/>
      <dgm:spPr>
        <a:prstGeom prst="rightArrow">
          <a:avLst/>
        </a:prstGeom>
      </dgm:spPr>
      <dgm:t>
        <a:bodyPr/>
        <a:lstStyle/>
        <a:p>
          <a:endParaRPr lang="en-US"/>
        </a:p>
      </dgm:t>
    </dgm:pt>
    <dgm:pt modelId="{E29FE283-1D7B-4C7D-BA82-BA20F7B95FA2}" type="pres">
      <dgm:prSet presAssocID="{F9CFEB07-A792-4F62-A686-379C4AB20457}" presName="node" presStyleLbl="node1" presStyleIdx="1" presStyleCnt="4" custRadScaleRad="118823" custRadScaleInc="144290">
        <dgm:presLayoutVars>
          <dgm:bulletEnabled val="1"/>
        </dgm:presLayoutVars>
      </dgm:prSet>
      <dgm:spPr/>
      <dgm:t>
        <a:bodyPr/>
        <a:lstStyle/>
        <a:p>
          <a:endParaRPr lang="en-US"/>
        </a:p>
      </dgm:t>
    </dgm:pt>
    <dgm:pt modelId="{F0C1F813-7B0E-4CF9-8D5D-0026588FA350}" type="pres">
      <dgm:prSet presAssocID="{2CB1BD5D-A439-4E21-9F04-41B953F95092}" presName="parTrans" presStyleLbl="bgSibTrans2D1" presStyleIdx="2" presStyleCnt="4" custAng="21359396" custScaleX="51872" custLinFactNeighborX="2161" custLinFactNeighborY="97183"/>
      <dgm:spPr>
        <a:prstGeom prst="rightArrow">
          <a:avLst/>
        </a:prstGeom>
      </dgm:spPr>
      <dgm:t>
        <a:bodyPr/>
        <a:lstStyle/>
        <a:p>
          <a:endParaRPr lang="en-US"/>
        </a:p>
      </dgm:t>
    </dgm:pt>
    <dgm:pt modelId="{0D13D467-F7BE-49C7-82DA-04AE252A4219}" type="pres">
      <dgm:prSet presAssocID="{87DDAE51-2CF3-4087-86C1-D6D07C4FDF5A}" presName="node" presStyleLbl="node1" presStyleIdx="2" presStyleCnt="4" custRadScaleRad="94881" custRadScaleInc="-108130">
        <dgm:presLayoutVars>
          <dgm:bulletEnabled val="1"/>
        </dgm:presLayoutVars>
      </dgm:prSet>
      <dgm:spPr/>
      <dgm:t>
        <a:bodyPr/>
        <a:lstStyle/>
        <a:p>
          <a:endParaRPr lang="en-US"/>
        </a:p>
      </dgm:t>
    </dgm:pt>
    <dgm:pt modelId="{CC44CAAE-812A-4AEB-B99E-DE9832D3F7D2}" type="pres">
      <dgm:prSet presAssocID="{1B8BCDC4-4683-4C52-AAE1-51E229DDFCAF}" presName="parTrans" presStyleLbl="bgSibTrans2D1" presStyleIdx="3" presStyleCnt="4" custLinFactNeighborX="-7948" custLinFactNeighborY="12122"/>
      <dgm:spPr/>
      <dgm:t>
        <a:bodyPr/>
        <a:lstStyle/>
        <a:p>
          <a:endParaRPr lang="en-US"/>
        </a:p>
      </dgm:t>
    </dgm:pt>
    <dgm:pt modelId="{A95EBC2B-8CAE-40B4-98BF-392B69B085B7}" type="pres">
      <dgm:prSet presAssocID="{ECDF9709-6FC1-4FBE-A114-5017EBCEDA5C}" presName="node" presStyleLbl="node1" presStyleIdx="3" presStyleCnt="4" custRadScaleRad="80770" custRadScaleInc="68428">
        <dgm:presLayoutVars>
          <dgm:bulletEnabled val="1"/>
        </dgm:presLayoutVars>
      </dgm:prSet>
      <dgm:spPr/>
      <dgm:t>
        <a:bodyPr/>
        <a:lstStyle/>
        <a:p>
          <a:endParaRPr lang="en-US"/>
        </a:p>
      </dgm:t>
    </dgm:pt>
  </dgm:ptLst>
  <dgm:cxnLst>
    <dgm:cxn modelId="{39EB4B0C-4EBE-4846-AB63-C70B61C549C4}" type="presOf" srcId="{3D12D427-B048-4FCE-858C-023F3B183BF9}" destId="{BA120A98-8653-4382-A78A-A32FF791AAEE}" srcOrd="0" destOrd="0" presId="urn:microsoft.com/office/officeart/2005/8/layout/radial4"/>
    <dgm:cxn modelId="{5781843C-74FC-45A8-BD32-9068D1BB7C80}" type="presOf" srcId="{9C8C244C-F9CE-4CFD-9330-CBBE7F0D14BA}" destId="{5549A062-7BC4-4E1A-8252-926DE774F9F7}" srcOrd="0" destOrd="0" presId="urn:microsoft.com/office/officeart/2005/8/layout/radial4"/>
    <dgm:cxn modelId="{2DD6EA15-017A-418C-BE32-DEE66C48542C}" type="presOf" srcId="{8BC54A9A-B4DC-45D7-AB8A-684FB14B5ACF}" destId="{247E859C-1B44-4DF1-8AB3-4B40E480CF97}" srcOrd="0" destOrd="0" presId="urn:microsoft.com/office/officeart/2005/8/layout/radial4"/>
    <dgm:cxn modelId="{476BC1BF-EA30-4825-9755-DDF610BEB3A3}" srcId="{1EBCF514-5BA8-4144-8072-751491A8ADEF}" destId="{8BC54A9A-B4DC-45D7-AB8A-684FB14B5ACF}" srcOrd="0" destOrd="0" parTransId="{9F090386-4C05-4981-A989-33113102E5D5}" sibTransId="{BF2D027D-2A0E-40B7-805B-2F4C773AA9E7}"/>
    <dgm:cxn modelId="{D1449B00-3A67-4D59-AD3E-17726DBD13CC}" srcId="{8BC54A9A-B4DC-45D7-AB8A-684FB14B5ACF}" destId="{F9CFEB07-A792-4F62-A686-379C4AB20457}" srcOrd="1" destOrd="0" parTransId="{F358E203-9D06-41EC-992E-2D3CE4489D2D}" sibTransId="{6FFABB96-EAC2-400D-9FDA-27155C1B8BC4}"/>
    <dgm:cxn modelId="{47FFE4E7-DE9B-409C-AD7F-2395513167E1}" type="presOf" srcId="{F9CFEB07-A792-4F62-A686-379C4AB20457}" destId="{E29FE283-1D7B-4C7D-BA82-BA20F7B95FA2}" srcOrd="0" destOrd="0" presId="urn:microsoft.com/office/officeart/2005/8/layout/radial4"/>
    <dgm:cxn modelId="{6E273F06-FBDE-40B3-82FD-9F12F65CFC9E}" type="presOf" srcId="{ECDF9709-6FC1-4FBE-A114-5017EBCEDA5C}" destId="{A95EBC2B-8CAE-40B4-98BF-392B69B085B7}" srcOrd="0" destOrd="0" presId="urn:microsoft.com/office/officeart/2005/8/layout/radial4"/>
    <dgm:cxn modelId="{8FBB7F98-9C28-4123-A9CC-ADCCEDCB2090}" srcId="{8BC54A9A-B4DC-45D7-AB8A-684FB14B5ACF}" destId="{ECDF9709-6FC1-4FBE-A114-5017EBCEDA5C}" srcOrd="3" destOrd="0" parTransId="{1B8BCDC4-4683-4C52-AAE1-51E229DDFCAF}" sibTransId="{E0065638-BB3A-4454-B013-201D145C41E9}"/>
    <dgm:cxn modelId="{26E9CBB8-883B-41BC-B2EF-8F895A9A315D}" type="presOf" srcId="{87DDAE51-2CF3-4087-86C1-D6D07C4FDF5A}" destId="{0D13D467-F7BE-49C7-82DA-04AE252A4219}" srcOrd="0" destOrd="0" presId="urn:microsoft.com/office/officeart/2005/8/layout/radial4"/>
    <dgm:cxn modelId="{4F0504D3-3858-4FB6-B70A-980CF79D5EDC}" srcId="{8BC54A9A-B4DC-45D7-AB8A-684FB14B5ACF}" destId="{87DDAE51-2CF3-4087-86C1-D6D07C4FDF5A}" srcOrd="2" destOrd="0" parTransId="{2CB1BD5D-A439-4E21-9F04-41B953F95092}" sibTransId="{06F7E571-51B6-4022-9874-35B3B83FB310}"/>
    <dgm:cxn modelId="{27E320DD-C0F4-4F04-BAC2-36D2883351E2}" srcId="{8BC54A9A-B4DC-45D7-AB8A-684FB14B5ACF}" destId="{9C8C244C-F9CE-4CFD-9330-CBBE7F0D14BA}" srcOrd="0" destOrd="0" parTransId="{3D12D427-B048-4FCE-858C-023F3B183BF9}" sibTransId="{3A6CF5B9-0C23-4EDE-8217-71612A60BFFF}"/>
    <dgm:cxn modelId="{D8357D1A-E127-4DB9-AFD4-653FD3560B02}" type="presOf" srcId="{2CB1BD5D-A439-4E21-9F04-41B953F95092}" destId="{F0C1F813-7B0E-4CF9-8D5D-0026588FA350}" srcOrd="0" destOrd="0" presId="urn:microsoft.com/office/officeart/2005/8/layout/radial4"/>
    <dgm:cxn modelId="{DD84F0A0-A3F9-4405-8A45-5E49618B990A}" type="presOf" srcId="{1B8BCDC4-4683-4C52-AAE1-51E229DDFCAF}" destId="{CC44CAAE-812A-4AEB-B99E-DE9832D3F7D2}" srcOrd="0" destOrd="0" presId="urn:microsoft.com/office/officeart/2005/8/layout/radial4"/>
    <dgm:cxn modelId="{5C25D794-3D27-4E57-BDD4-7E7DB2E7BD7B}" type="presOf" srcId="{F358E203-9D06-41EC-992E-2D3CE4489D2D}" destId="{19EE78F0-3F95-4AB2-9760-E72E76CA3316}" srcOrd="0" destOrd="0" presId="urn:microsoft.com/office/officeart/2005/8/layout/radial4"/>
    <dgm:cxn modelId="{FB14131B-DC60-4C3C-ACD0-0317E9193514}" type="presOf" srcId="{1EBCF514-5BA8-4144-8072-751491A8ADEF}" destId="{668CEF9D-F3B3-4D72-A6E6-8AA6B395AE7E}" srcOrd="0" destOrd="0" presId="urn:microsoft.com/office/officeart/2005/8/layout/radial4"/>
    <dgm:cxn modelId="{80FC55A0-CC95-4286-8F21-490A89D5EAF5}" type="presParOf" srcId="{668CEF9D-F3B3-4D72-A6E6-8AA6B395AE7E}" destId="{247E859C-1B44-4DF1-8AB3-4B40E480CF97}" srcOrd="0" destOrd="0" presId="urn:microsoft.com/office/officeart/2005/8/layout/radial4"/>
    <dgm:cxn modelId="{A7742AC4-BBB7-4531-B426-F2CDD6179F3B}" type="presParOf" srcId="{668CEF9D-F3B3-4D72-A6E6-8AA6B395AE7E}" destId="{BA120A98-8653-4382-A78A-A32FF791AAEE}" srcOrd="1" destOrd="0" presId="urn:microsoft.com/office/officeart/2005/8/layout/radial4"/>
    <dgm:cxn modelId="{D2B340C1-1DF1-4056-978C-193B31545C60}" type="presParOf" srcId="{668CEF9D-F3B3-4D72-A6E6-8AA6B395AE7E}" destId="{5549A062-7BC4-4E1A-8252-926DE774F9F7}" srcOrd="2" destOrd="0" presId="urn:microsoft.com/office/officeart/2005/8/layout/radial4"/>
    <dgm:cxn modelId="{81DB16D8-0E78-4169-8E3A-C77874E7D413}" type="presParOf" srcId="{668CEF9D-F3B3-4D72-A6E6-8AA6B395AE7E}" destId="{19EE78F0-3F95-4AB2-9760-E72E76CA3316}" srcOrd="3" destOrd="0" presId="urn:microsoft.com/office/officeart/2005/8/layout/radial4"/>
    <dgm:cxn modelId="{276AA065-66DA-4C17-B894-7DC5CCC55A3B}" type="presParOf" srcId="{668CEF9D-F3B3-4D72-A6E6-8AA6B395AE7E}" destId="{E29FE283-1D7B-4C7D-BA82-BA20F7B95FA2}" srcOrd="4" destOrd="0" presId="urn:microsoft.com/office/officeart/2005/8/layout/radial4"/>
    <dgm:cxn modelId="{C7E4B6AA-A61A-4D1E-B789-530C2E0718CB}" type="presParOf" srcId="{668CEF9D-F3B3-4D72-A6E6-8AA6B395AE7E}" destId="{F0C1F813-7B0E-4CF9-8D5D-0026588FA350}" srcOrd="5" destOrd="0" presId="urn:microsoft.com/office/officeart/2005/8/layout/radial4"/>
    <dgm:cxn modelId="{39C5802E-354D-4ADB-986E-1B682FD0BC30}" type="presParOf" srcId="{668CEF9D-F3B3-4D72-A6E6-8AA6B395AE7E}" destId="{0D13D467-F7BE-49C7-82DA-04AE252A4219}" srcOrd="6" destOrd="0" presId="urn:microsoft.com/office/officeart/2005/8/layout/radial4"/>
    <dgm:cxn modelId="{45F06762-DB1E-4208-8502-6A0411C088DB}" type="presParOf" srcId="{668CEF9D-F3B3-4D72-A6E6-8AA6B395AE7E}" destId="{CC44CAAE-812A-4AEB-B99E-DE9832D3F7D2}" srcOrd="7" destOrd="0" presId="urn:microsoft.com/office/officeart/2005/8/layout/radial4"/>
    <dgm:cxn modelId="{E16DDB78-4DE5-4A50-A748-205105473ADF}" type="presParOf" srcId="{668CEF9D-F3B3-4D72-A6E6-8AA6B395AE7E}" destId="{A95EBC2B-8CAE-40B4-98BF-392B69B085B7}" srcOrd="8" destOrd="0" presId="urn:microsoft.com/office/officeart/2005/8/layout/radial4"/>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7E859C-1B44-4DF1-8AB3-4B40E480CF97}">
      <dsp:nvSpPr>
        <dsp:cNvPr id="0" name=""/>
        <dsp:cNvSpPr/>
      </dsp:nvSpPr>
      <dsp:spPr>
        <a:xfrm>
          <a:off x="539437" y="1052587"/>
          <a:ext cx="1013338" cy="100360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dirty="0">
              <a:solidFill>
                <a:schemeClr val="bg1"/>
              </a:solidFill>
            </a:rPr>
            <a:t>Asset Upgrade Strategy</a:t>
          </a:r>
          <a:endParaRPr lang="en-US" sz="1200" kern="1200" dirty="0">
            <a:solidFill>
              <a:schemeClr val="bg1"/>
            </a:solidFill>
          </a:endParaRPr>
        </a:p>
      </dsp:txBody>
      <dsp:txXfrm>
        <a:off x="687837" y="1199562"/>
        <a:ext cx="716538" cy="709658"/>
      </dsp:txXfrm>
    </dsp:sp>
    <dsp:sp modelId="{BA120A98-8653-4382-A78A-A32FF791AAEE}">
      <dsp:nvSpPr>
        <dsp:cNvPr id="0" name=""/>
        <dsp:cNvSpPr/>
      </dsp:nvSpPr>
      <dsp:spPr>
        <a:xfrm rot="20682344">
          <a:off x="1500651" y="1181964"/>
          <a:ext cx="785212" cy="224722"/>
        </a:xfrm>
        <a:prstGeom prst="lef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549A062-7BC4-4E1A-8252-926DE774F9F7}">
      <dsp:nvSpPr>
        <dsp:cNvPr id="0" name=""/>
        <dsp:cNvSpPr/>
      </dsp:nvSpPr>
      <dsp:spPr>
        <a:xfrm>
          <a:off x="1961448" y="902030"/>
          <a:ext cx="749073" cy="59925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en-US" sz="700" kern="1200" dirty="0"/>
            <a:t>Service Strategic Planning (Community need, utilisation, fit for purpose)</a:t>
          </a:r>
        </a:p>
      </dsp:txBody>
      <dsp:txXfrm>
        <a:off x="1979000" y="919582"/>
        <a:ext cx="713969" cy="564154"/>
      </dsp:txXfrm>
    </dsp:sp>
    <dsp:sp modelId="{19EE78F0-3F95-4AB2-9760-E72E76CA3316}">
      <dsp:nvSpPr>
        <dsp:cNvPr id="0" name=""/>
        <dsp:cNvSpPr/>
      </dsp:nvSpPr>
      <dsp:spPr>
        <a:xfrm>
          <a:off x="1068090" y="412068"/>
          <a:ext cx="871563" cy="224722"/>
        </a:xfrm>
        <a:prstGeom prst="rightArrow">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29FE283-1D7B-4C7D-BA82-BA20F7B95FA2}">
      <dsp:nvSpPr>
        <dsp:cNvPr id="0" name=""/>
        <dsp:cNvSpPr/>
      </dsp:nvSpPr>
      <dsp:spPr>
        <a:xfrm>
          <a:off x="1942461" y="242027"/>
          <a:ext cx="749073" cy="599258"/>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en-US" sz="700" kern="1200" dirty="0"/>
            <a:t>Council Plan</a:t>
          </a:r>
          <a:br>
            <a:rPr lang="en-US" sz="700" kern="1200" dirty="0"/>
          </a:br>
          <a:r>
            <a:rPr lang="en-US" sz="700" kern="1200" dirty="0"/>
            <a:t> LTFP</a:t>
          </a:r>
        </a:p>
      </dsp:txBody>
      <dsp:txXfrm>
        <a:off x="1960013" y="259579"/>
        <a:ext cx="713969" cy="564154"/>
      </dsp:txXfrm>
    </dsp:sp>
    <dsp:sp modelId="{F0C1F813-7B0E-4CF9-8D5D-0026588FA350}">
      <dsp:nvSpPr>
        <dsp:cNvPr id="0" name=""/>
        <dsp:cNvSpPr/>
      </dsp:nvSpPr>
      <dsp:spPr>
        <a:xfrm rot="15910744">
          <a:off x="931354" y="914072"/>
          <a:ext cx="227317" cy="224722"/>
        </a:xfrm>
        <a:prstGeom prst="rightArrow">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D13D467-F7BE-49C7-82DA-04AE252A4219}">
      <dsp:nvSpPr>
        <dsp:cNvPr id="0" name=""/>
        <dsp:cNvSpPr/>
      </dsp:nvSpPr>
      <dsp:spPr>
        <a:xfrm>
          <a:off x="657905" y="289320"/>
          <a:ext cx="749073" cy="599258"/>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en-US" sz="700" kern="1200" dirty="0"/>
            <a:t>Life Cycle Asset Management</a:t>
          </a:r>
          <a:br>
            <a:rPr lang="en-US" sz="700" kern="1200" dirty="0"/>
          </a:br>
          <a:r>
            <a:rPr lang="en-US" sz="700" kern="1200" dirty="0"/>
            <a:t>(R&amp;OS-AMP)</a:t>
          </a:r>
        </a:p>
      </dsp:txBody>
      <dsp:txXfrm>
        <a:off x="675457" y="306872"/>
        <a:ext cx="713969" cy="564154"/>
      </dsp:txXfrm>
    </dsp:sp>
    <dsp:sp modelId="{CC44CAAE-812A-4AEB-B99E-DE9832D3F7D2}">
      <dsp:nvSpPr>
        <dsp:cNvPr id="0" name=""/>
        <dsp:cNvSpPr/>
      </dsp:nvSpPr>
      <dsp:spPr>
        <a:xfrm rot="679640">
          <a:off x="1518221" y="1652292"/>
          <a:ext cx="761968" cy="224722"/>
        </a:xfrm>
        <a:prstGeom prst="lef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95EBC2B-8CAE-40B4-98BF-392B69B085B7}">
      <dsp:nvSpPr>
        <dsp:cNvPr id="0" name=""/>
        <dsp:cNvSpPr/>
      </dsp:nvSpPr>
      <dsp:spPr>
        <a:xfrm>
          <a:off x="1958792" y="1512613"/>
          <a:ext cx="749073" cy="599258"/>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en-US" sz="700" kern="1200" dirty="0" smtClean="0"/>
            <a:t>Regulatory Compliance, OH&amp;S, other policies, etc</a:t>
          </a:r>
          <a:endParaRPr lang="en-US" sz="700" kern="1200" dirty="0"/>
        </a:p>
      </dsp:txBody>
      <dsp:txXfrm>
        <a:off x="1976344" y="1530165"/>
        <a:ext cx="713969" cy="564154"/>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8C794F-CA05-4CFD-BC21-579B10246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19756</Words>
  <Characters>112610</Characters>
  <Application>Microsoft Office Word</Application>
  <DocSecurity>0</DocSecurity>
  <Lines>938</Lines>
  <Paragraphs>264</Paragraphs>
  <ScaleCrop>false</ScaleCrop>
  <HeadingPairs>
    <vt:vector size="2" baseType="variant">
      <vt:variant>
        <vt:lpstr>Title</vt:lpstr>
      </vt:variant>
      <vt:variant>
        <vt:i4>1</vt:i4>
      </vt:variant>
    </vt:vector>
  </HeadingPairs>
  <TitlesOfParts>
    <vt:vector size="1" baseType="lpstr">
      <vt:lpstr/>
    </vt:vector>
  </TitlesOfParts>
  <Company>Bayside City Council</Company>
  <LinksUpToDate>false</LinksUpToDate>
  <CharactersWithSpaces>132102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Carson</dc:creator>
  <cp:keywords/>
  <dc:description/>
  <cp:lastModifiedBy>James Wilkin</cp:lastModifiedBy>
  <cp:revision>2</cp:revision>
  <cp:lastPrinted>2016-06-10T01:59:00Z</cp:lastPrinted>
  <dcterms:created xsi:type="dcterms:W3CDTF">2016-08-16T23:44:00Z</dcterms:created>
  <dcterms:modified xsi:type="dcterms:W3CDTF">2016-08-16T23:44:00Z</dcterms:modified>
</cp:coreProperties>
</file>